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016D" w14:textId="6AB8A2A9" w:rsidR="0033679C" w:rsidRPr="0050011A" w:rsidRDefault="3D373E53">
      <w:pPr>
        <w:rPr>
          <w:rFonts w:cs="Arial"/>
        </w:rPr>
      </w:pPr>
      <w:r>
        <w:t>Off</w:t>
      </w:r>
      <w:r w:rsidR="00570723" w:rsidRPr="0050011A">
        <w:rPr>
          <w:rFonts w:cs="Arial"/>
          <w:noProof/>
        </w:rPr>
        <w:drawing>
          <wp:anchor distT="0" distB="0" distL="114300" distR="114300" simplePos="0" relativeHeight="251658240" behindDoc="0" locked="0" layoutInCell="1" allowOverlap="1" wp14:anchorId="4EFAD9BB" wp14:editId="143E6B31">
            <wp:simplePos x="0" y="0"/>
            <wp:positionH relativeFrom="page">
              <wp:align>left</wp:align>
            </wp:positionH>
            <wp:positionV relativeFrom="paragraph">
              <wp:posOffset>-914400</wp:posOffset>
            </wp:positionV>
            <wp:extent cx="7551420" cy="10688628"/>
            <wp:effectExtent l="0" t="0" r="0" b="0"/>
            <wp:wrapNone/>
            <wp:docPr id="160228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089" cy="10702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79C" w:rsidRPr="0050011A">
        <w:rPr>
          <w:rFonts w:cs="Arial"/>
        </w:rPr>
        <w:br w:type="page"/>
      </w:r>
    </w:p>
    <w:sdt>
      <w:sdtPr>
        <w:rPr>
          <w:rFonts w:ascii="Arial" w:eastAsiaTheme="minorEastAsia" w:hAnsi="Arial" w:cs="Arial"/>
          <w:color w:val="auto"/>
          <w:kern w:val="2"/>
          <w:sz w:val="24"/>
          <w:szCs w:val="24"/>
          <w14:ligatures w14:val="standardContextual"/>
        </w:rPr>
        <w:id w:val="-2087678971"/>
        <w:docPartObj>
          <w:docPartGallery w:val="Table of Contents"/>
          <w:docPartUnique/>
        </w:docPartObj>
      </w:sdtPr>
      <w:sdtEndPr>
        <w:rPr>
          <w:b/>
          <w:sz w:val="20"/>
          <w:szCs w:val="20"/>
        </w:rPr>
      </w:sdtEndPr>
      <w:sdtContent>
        <w:p w14:paraId="21D36862" w14:textId="0F758FF9" w:rsidR="00EE4C4E" w:rsidRPr="0050011A" w:rsidRDefault="00EE4C4E">
          <w:pPr>
            <w:pStyle w:val="TOCHeading"/>
            <w:rPr>
              <w:rFonts w:ascii="Arial" w:hAnsi="Arial" w:cs="Arial"/>
            </w:rPr>
          </w:pPr>
          <w:r w:rsidRPr="0050011A">
            <w:rPr>
              <w:rFonts w:ascii="Arial" w:hAnsi="Arial" w:cs="Arial"/>
            </w:rPr>
            <w:t>Contents</w:t>
          </w:r>
        </w:p>
        <w:bookmarkStart w:id="0" w:name="_Toc230347172"/>
        <w:p w14:paraId="679D92FB" w14:textId="1D75897E" w:rsidR="006A7045" w:rsidRDefault="000F4DD7" w:rsidP="54AD4DA9">
          <w:pPr>
            <w:pStyle w:val="TOC1"/>
            <w:tabs>
              <w:tab w:val="right" w:leader="dot" w:pos="9015"/>
            </w:tabs>
            <w:rPr>
              <w:rFonts w:asciiTheme="minorHAnsi" w:eastAsiaTheme="minorEastAsia" w:hAnsiTheme="minorHAnsi" w:cstheme="minorBidi"/>
              <w:noProof/>
              <w:lang w:val="nl-NL" w:eastAsia="nl-NL"/>
            </w:rPr>
          </w:pPr>
          <w:r w:rsidRPr="0050011A">
            <w:rPr>
              <w:rFonts w:ascii="Calibri" w:hAnsi="Calibri"/>
            </w:rPr>
            <w:fldChar w:fldCharType="begin"/>
          </w:r>
          <w:r>
            <w:instrText>TOC \o "1-3" \z \u \h</w:instrText>
          </w:r>
          <w:r w:rsidRPr="0050011A">
            <w:rPr>
              <w:rFonts w:ascii="Calibri" w:hAnsi="Calibri"/>
            </w:rPr>
            <w:fldChar w:fldCharType="separate"/>
          </w:r>
          <w:hyperlink w:anchor="_Toc1525260477">
            <w:r w:rsidR="54AD4DA9" w:rsidRPr="54AD4DA9">
              <w:rPr>
                <w:rStyle w:val="Hyperlink"/>
              </w:rPr>
              <w:t>1. Executive Summary</w:t>
            </w:r>
            <w:r>
              <w:tab/>
            </w:r>
            <w:r>
              <w:fldChar w:fldCharType="begin"/>
            </w:r>
            <w:r>
              <w:instrText>PAGEREF _Toc1525260477 \h</w:instrText>
            </w:r>
            <w:r>
              <w:fldChar w:fldCharType="separate"/>
            </w:r>
            <w:r w:rsidR="54AD4DA9" w:rsidRPr="54AD4DA9">
              <w:rPr>
                <w:rStyle w:val="Hyperlink"/>
              </w:rPr>
              <w:t>2</w:t>
            </w:r>
            <w:r>
              <w:fldChar w:fldCharType="end"/>
            </w:r>
          </w:hyperlink>
        </w:p>
        <w:p w14:paraId="231CA0F2" w14:textId="209376D8"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1364249441">
            <w:r w:rsidRPr="54AD4DA9">
              <w:rPr>
                <w:rStyle w:val="Hyperlink"/>
              </w:rPr>
              <w:t>2. Introduction</w:t>
            </w:r>
            <w:r w:rsidR="006A7045">
              <w:tab/>
            </w:r>
            <w:r w:rsidR="006A7045">
              <w:fldChar w:fldCharType="begin"/>
            </w:r>
            <w:r w:rsidR="006A7045">
              <w:instrText>PAGEREF _Toc1364249441 \h</w:instrText>
            </w:r>
            <w:r w:rsidR="006A7045">
              <w:fldChar w:fldCharType="separate"/>
            </w:r>
            <w:r w:rsidRPr="54AD4DA9">
              <w:rPr>
                <w:rStyle w:val="Hyperlink"/>
              </w:rPr>
              <w:t>2</w:t>
            </w:r>
            <w:r w:rsidR="006A7045">
              <w:fldChar w:fldCharType="end"/>
            </w:r>
          </w:hyperlink>
        </w:p>
        <w:p w14:paraId="1C571DC3" w14:textId="1E046BB4"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793709182">
            <w:r w:rsidRPr="54AD4DA9">
              <w:rPr>
                <w:rStyle w:val="Hyperlink"/>
              </w:rPr>
              <w:t>2.1 Background and Context</w:t>
            </w:r>
            <w:r w:rsidR="006A7045">
              <w:tab/>
            </w:r>
            <w:r w:rsidR="006A7045">
              <w:fldChar w:fldCharType="begin"/>
            </w:r>
            <w:r w:rsidR="006A7045">
              <w:instrText>PAGEREF _Toc793709182 \h</w:instrText>
            </w:r>
            <w:r w:rsidR="006A7045">
              <w:fldChar w:fldCharType="separate"/>
            </w:r>
            <w:r w:rsidRPr="54AD4DA9">
              <w:rPr>
                <w:rStyle w:val="Hyperlink"/>
              </w:rPr>
              <w:t>2</w:t>
            </w:r>
            <w:r w:rsidR="006A7045">
              <w:fldChar w:fldCharType="end"/>
            </w:r>
          </w:hyperlink>
        </w:p>
        <w:p w14:paraId="551D7E02" w14:textId="64BF8BE3"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356170106">
            <w:r w:rsidRPr="54AD4DA9">
              <w:rPr>
                <w:rStyle w:val="Hyperlink"/>
              </w:rPr>
              <w:t>2.2 Purpose and Audience of This Document</w:t>
            </w:r>
            <w:r w:rsidR="006A7045">
              <w:tab/>
            </w:r>
            <w:r w:rsidR="006A7045">
              <w:fldChar w:fldCharType="begin"/>
            </w:r>
            <w:r w:rsidR="006A7045">
              <w:instrText>PAGEREF _Toc356170106 \h</w:instrText>
            </w:r>
            <w:r w:rsidR="006A7045">
              <w:fldChar w:fldCharType="separate"/>
            </w:r>
            <w:r w:rsidRPr="54AD4DA9">
              <w:rPr>
                <w:rStyle w:val="Hyperlink"/>
              </w:rPr>
              <w:t>3</w:t>
            </w:r>
            <w:r w:rsidR="006A7045">
              <w:fldChar w:fldCharType="end"/>
            </w:r>
          </w:hyperlink>
        </w:p>
        <w:p w14:paraId="6777E718" w14:textId="71C57522"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734369238">
            <w:r w:rsidRPr="54AD4DA9">
              <w:rPr>
                <w:rStyle w:val="Hyperlink"/>
              </w:rPr>
              <w:t>2.3 Scope</w:t>
            </w:r>
            <w:r w:rsidR="006A7045">
              <w:tab/>
            </w:r>
            <w:r w:rsidR="006A7045">
              <w:fldChar w:fldCharType="begin"/>
            </w:r>
            <w:r w:rsidR="006A7045">
              <w:instrText>PAGEREF _Toc734369238 \h</w:instrText>
            </w:r>
            <w:r w:rsidR="006A7045">
              <w:fldChar w:fldCharType="separate"/>
            </w:r>
            <w:r w:rsidRPr="54AD4DA9">
              <w:rPr>
                <w:rStyle w:val="Hyperlink"/>
              </w:rPr>
              <w:t>3</w:t>
            </w:r>
            <w:r w:rsidR="006A7045">
              <w:fldChar w:fldCharType="end"/>
            </w:r>
          </w:hyperlink>
        </w:p>
        <w:p w14:paraId="7DE971C9" w14:textId="0747CCD0"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021227814">
            <w:r w:rsidRPr="54AD4DA9">
              <w:rPr>
                <w:rStyle w:val="Hyperlink"/>
              </w:rPr>
              <w:t>2.4 How This Document Relates to European Standards</w:t>
            </w:r>
            <w:r w:rsidR="006A7045">
              <w:tab/>
            </w:r>
            <w:r w:rsidR="006A7045">
              <w:fldChar w:fldCharType="begin"/>
            </w:r>
            <w:r w:rsidR="006A7045">
              <w:instrText>PAGEREF _Toc1021227814 \h</w:instrText>
            </w:r>
            <w:r w:rsidR="006A7045">
              <w:fldChar w:fldCharType="separate"/>
            </w:r>
            <w:r w:rsidRPr="54AD4DA9">
              <w:rPr>
                <w:rStyle w:val="Hyperlink"/>
              </w:rPr>
              <w:t>4</w:t>
            </w:r>
            <w:r w:rsidR="006A7045">
              <w:fldChar w:fldCharType="end"/>
            </w:r>
          </w:hyperlink>
        </w:p>
        <w:p w14:paraId="7FBF25B3" w14:textId="0CD74F89"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256632047">
            <w:r w:rsidRPr="54AD4DA9">
              <w:rPr>
                <w:rStyle w:val="Hyperlink"/>
              </w:rPr>
              <w:t>3. Current Situation and Gap Analysis</w:t>
            </w:r>
            <w:r w:rsidR="006A7045">
              <w:tab/>
            </w:r>
            <w:r w:rsidR="006A7045">
              <w:fldChar w:fldCharType="begin"/>
            </w:r>
            <w:r w:rsidR="006A7045">
              <w:instrText>PAGEREF _Toc256632047 \h</w:instrText>
            </w:r>
            <w:r w:rsidR="006A7045">
              <w:fldChar w:fldCharType="separate"/>
            </w:r>
            <w:r w:rsidRPr="54AD4DA9">
              <w:rPr>
                <w:rStyle w:val="Hyperlink"/>
              </w:rPr>
              <w:t>5</w:t>
            </w:r>
            <w:r w:rsidR="006A7045">
              <w:fldChar w:fldCharType="end"/>
            </w:r>
          </w:hyperlink>
        </w:p>
        <w:p w14:paraId="631643A1" w14:textId="4F9DC2FC"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401604481">
            <w:r w:rsidRPr="54AD4DA9">
              <w:rPr>
                <w:rStyle w:val="Hyperlink"/>
              </w:rPr>
              <w:t>3.1 What Is Currently in Place</w:t>
            </w:r>
            <w:r w:rsidR="006A7045">
              <w:tab/>
            </w:r>
            <w:r w:rsidR="006A7045">
              <w:fldChar w:fldCharType="begin"/>
            </w:r>
            <w:r w:rsidR="006A7045">
              <w:instrText>PAGEREF _Toc1401604481 \h</w:instrText>
            </w:r>
            <w:r w:rsidR="006A7045">
              <w:fldChar w:fldCharType="separate"/>
            </w:r>
            <w:r w:rsidRPr="54AD4DA9">
              <w:rPr>
                <w:rStyle w:val="Hyperlink"/>
              </w:rPr>
              <w:t>6</w:t>
            </w:r>
            <w:r w:rsidR="006A7045">
              <w:fldChar w:fldCharType="end"/>
            </w:r>
          </w:hyperlink>
        </w:p>
        <w:p w14:paraId="682D5E36" w14:textId="4AFDA45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82565765">
            <w:r w:rsidRPr="54AD4DA9">
              <w:rPr>
                <w:rStyle w:val="Hyperlink"/>
              </w:rPr>
              <w:t>3.1.1 Technical Infrastructure</w:t>
            </w:r>
            <w:r w:rsidR="006A7045">
              <w:tab/>
            </w:r>
            <w:r w:rsidR="006A7045">
              <w:fldChar w:fldCharType="begin"/>
            </w:r>
            <w:r w:rsidR="006A7045">
              <w:instrText>PAGEREF _Toc1282565765 \h</w:instrText>
            </w:r>
            <w:r w:rsidR="006A7045">
              <w:fldChar w:fldCharType="separate"/>
            </w:r>
            <w:r w:rsidRPr="54AD4DA9">
              <w:rPr>
                <w:rStyle w:val="Hyperlink"/>
              </w:rPr>
              <w:t>6</w:t>
            </w:r>
            <w:r w:rsidR="006A7045">
              <w:fldChar w:fldCharType="end"/>
            </w:r>
          </w:hyperlink>
        </w:p>
        <w:p w14:paraId="2F843EF2" w14:textId="55A07AF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958288230">
            <w:r w:rsidRPr="54AD4DA9">
              <w:rPr>
                <w:rStyle w:val="Hyperlink"/>
              </w:rPr>
              <w:t>3.1.2 Data Security and Privacy Plan</w:t>
            </w:r>
            <w:r w:rsidR="006A7045">
              <w:tab/>
            </w:r>
            <w:r w:rsidR="006A7045">
              <w:fldChar w:fldCharType="begin"/>
            </w:r>
            <w:r w:rsidR="006A7045">
              <w:instrText>PAGEREF _Toc958288230 \h</w:instrText>
            </w:r>
            <w:r w:rsidR="006A7045">
              <w:fldChar w:fldCharType="separate"/>
            </w:r>
            <w:r w:rsidRPr="54AD4DA9">
              <w:rPr>
                <w:rStyle w:val="Hyperlink"/>
              </w:rPr>
              <w:t>6</w:t>
            </w:r>
            <w:r w:rsidR="006A7045">
              <w:fldChar w:fldCharType="end"/>
            </w:r>
          </w:hyperlink>
        </w:p>
        <w:p w14:paraId="7F6F9104" w14:textId="51E1C75B"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46022507">
            <w:r w:rsidRPr="54AD4DA9">
              <w:rPr>
                <w:rStyle w:val="Hyperlink"/>
              </w:rPr>
              <w:t>3.1.3 Anonymisation Approach</w:t>
            </w:r>
            <w:r w:rsidR="006A7045">
              <w:tab/>
            </w:r>
            <w:r w:rsidR="006A7045">
              <w:fldChar w:fldCharType="begin"/>
            </w:r>
            <w:r w:rsidR="006A7045">
              <w:instrText>PAGEREF _Toc1546022507 \h</w:instrText>
            </w:r>
            <w:r w:rsidR="006A7045">
              <w:fldChar w:fldCharType="separate"/>
            </w:r>
            <w:r w:rsidRPr="54AD4DA9">
              <w:rPr>
                <w:rStyle w:val="Hyperlink"/>
              </w:rPr>
              <w:t>6</w:t>
            </w:r>
            <w:r w:rsidR="006A7045">
              <w:fldChar w:fldCharType="end"/>
            </w:r>
          </w:hyperlink>
        </w:p>
        <w:p w14:paraId="761B551D" w14:textId="7E0685B7"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60503239">
            <w:r w:rsidRPr="54AD4DA9">
              <w:rPr>
                <w:rStyle w:val="Hyperlink"/>
              </w:rPr>
              <w:t>3.1.4 What is still missing</w:t>
            </w:r>
            <w:r w:rsidR="006A7045">
              <w:tab/>
            </w:r>
            <w:r w:rsidR="006A7045">
              <w:fldChar w:fldCharType="begin"/>
            </w:r>
            <w:r w:rsidR="006A7045">
              <w:instrText>PAGEREF _Toc1560503239 \h</w:instrText>
            </w:r>
            <w:r w:rsidR="006A7045">
              <w:fldChar w:fldCharType="separate"/>
            </w:r>
            <w:r w:rsidRPr="54AD4DA9">
              <w:rPr>
                <w:rStyle w:val="Hyperlink"/>
              </w:rPr>
              <w:t>6</w:t>
            </w:r>
            <w:r w:rsidR="006A7045">
              <w:fldChar w:fldCharType="end"/>
            </w:r>
          </w:hyperlink>
        </w:p>
        <w:p w14:paraId="119D33BF" w14:textId="4E7F6A27"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334573103">
            <w:r w:rsidRPr="54AD4DA9">
              <w:rPr>
                <w:rStyle w:val="Hyperlink"/>
              </w:rPr>
              <w:t>3.2 Identified Governance Gaps</w:t>
            </w:r>
            <w:r w:rsidR="006A7045">
              <w:tab/>
            </w:r>
            <w:r w:rsidR="006A7045">
              <w:fldChar w:fldCharType="begin"/>
            </w:r>
            <w:r w:rsidR="006A7045">
              <w:instrText>PAGEREF _Toc334573103 \h</w:instrText>
            </w:r>
            <w:r w:rsidR="006A7045">
              <w:fldChar w:fldCharType="separate"/>
            </w:r>
            <w:r w:rsidRPr="54AD4DA9">
              <w:rPr>
                <w:rStyle w:val="Hyperlink"/>
              </w:rPr>
              <w:t>7</w:t>
            </w:r>
            <w:r w:rsidR="006A7045">
              <w:fldChar w:fldCharType="end"/>
            </w:r>
          </w:hyperlink>
        </w:p>
        <w:p w14:paraId="56D6E3C0" w14:textId="6EFE2636"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13039052">
            <w:r w:rsidRPr="54AD4DA9">
              <w:rPr>
                <w:rStyle w:val="Hyperlink"/>
              </w:rPr>
              <w:t>3.2.1 Undefined Roles and Responsibilities</w:t>
            </w:r>
            <w:r w:rsidR="006A7045">
              <w:tab/>
            </w:r>
            <w:r w:rsidR="006A7045">
              <w:fldChar w:fldCharType="begin"/>
            </w:r>
            <w:r w:rsidR="006A7045">
              <w:instrText>PAGEREF _Toc1513039052 \h</w:instrText>
            </w:r>
            <w:r w:rsidR="006A7045">
              <w:fldChar w:fldCharType="separate"/>
            </w:r>
            <w:r w:rsidRPr="54AD4DA9">
              <w:rPr>
                <w:rStyle w:val="Hyperlink"/>
              </w:rPr>
              <w:t>7</w:t>
            </w:r>
            <w:r w:rsidR="006A7045">
              <w:fldChar w:fldCharType="end"/>
            </w:r>
          </w:hyperlink>
        </w:p>
        <w:p w14:paraId="0CEC33E4" w14:textId="7D61464C"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559889889">
            <w:r w:rsidRPr="54AD4DA9">
              <w:rPr>
                <w:rStyle w:val="Hyperlink"/>
              </w:rPr>
              <w:t>3.2.2 Absence of Ongoing Audit Trails</w:t>
            </w:r>
            <w:r w:rsidR="006A7045">
              <w:tab/>
            </w:r>
            <w:r w:rsidR="006A7045">
              <w:fldChar w:fldCharType="begin"/>
            </w:r>
            <w:r w:rsidR="006A7045">
              <w:instrText>PAGEREF _Toc559889889 \h</w:instrText>
            </w:r>
            <w:r w:rsidR="006A7045">
              <w:fldChar w:fldCharType="separate"/>
            </w:r>
            <w:r w:rsidRPr="54AD4DA9">
              <w:rPr>
                <w:rStyle w:val="Hyperlink"/>
              </w:rPr>
              <w:t>7</w:t>
            </w:r>
            <w:r w:rsidR="006A7045">
              <w:fldChar w:fldCharType="end"/>
            </w:r>
          </w:hyperlink>
        </w:p>
        <w:p w14:paraId="5C8F5DF6" w14:textId="3B1B6FB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89470549">
            <w:r w:rsidRPr="54AD4DA9">
              <w:rPr>
                <w:rStyle w:val="Hyperlink"/>
              </w:rPr>
              <w:t>3.2.3 No Operationalized Ethics Review Process</w:t>
            </w:r>
            <w:r w:rsidR="006A7045">
              <w:tab/>
            </w:r>
            <w:r w:rsidR="006A7045">
              <w:fldChar w:fldCharType="begin"/>
            </w:r>
            <w:r w:rsidR="006A7045">
              <w:instrText>PAGEREF _Toc1289470549 \h</w:instrText>
            </w:r>
            <w:r w:rsidR="006A7045">
              <w:fldChar w:fldCharType="separate"/>
            </w:r>
            <w:r w:rsidRPr="54AD4DA9">
              <w:rPr>
                <w:rStyle w:val="Hyperlink"/>
              </w:rPr>
              <w:t>7</w:t>
            </w:r>
            <w:r w:rsidR="006A7045">
              <w:fldChar w:fldCharType="end"/>
            </w:r>
          </w:hyperlink>
        </w:p>
        <w:p w14:paraId="03147FB0" w14:textId="53E2ABFD"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85162642">
            <w:r w:rsidRPr="54AD4DA9">
              <w:rPr>
                <w:rStyle w:val="Hyperlink"/>
              </w:rPr>
              <w:t>3.2.4 No Re-identification Risk Procedure</w:t>
            </w:r>
            <w:r w:rsidR="006A7045">
              <w:tab/>
            </w:r>
            <w:r w:rsidR="006A7045">
              <w:fldChar w:fldCharType="begin"/>
            </w:r>
            <w:r w:rsidR="006A7045">
              <w:instrText>PAGEREF _Toc1985162642 \h</w:instrText>
            </w:r>
            <w:r w:rsidR="006A7045">
              <w:fldChar w:fldCharType="separate"/>
            </w:r>
            <w:r w:rsidRPr="54AD4DA9">
              <w:rPr>
                <w:rStyle w:val="Hyperlink"/>
              </w:rPr>
              <w:t>7</w:t>
            </w:r>
            <w:r w:rsidR="006A7045">
              <w:fldChar w:fldCharType="end"/>
            </w:r>
          </w:hyperlink>
        </w:p>
        <w:p w14:paraId="447323D5" w14:textId="1308144C"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744823957">
            <w:r w:rsidRPr="54AD4DA9">
              <w:rPr>
                <w:rStyle w:val="Hyperlink"/>
              </w:rPr>
              <w:t>3.2.5 Unresolved Municipal Dual Role</w:t>
            </w:r>
            <w:r w:rsidR="006A7045">
              <w:tab/>
            </w:r>
            <w:r w:rsidR="006A7045">
              <w:fldChar w:fldCharType="begin"/>
            </w:r>
            <w:r w:rsidR="006A7045">
              <w:instrText>PAGEREF _Toc744823957 \h</w:instrText>
            </w:r>
            <w:r w:rsidR="006A7045">
              <w:fldChar w:fldCharType="separate"/>
            </w:r>
            <w:r w:rsidRPr="54AD4DA9">
              <w:rPr>
                <w:rStyle w:val="Hyperlink"/>
              </w:rPr>
              <w:t>7</w:t>
            </w:r>
            <w:r w:rsidR="006A7045">
              <w:fldChar w:fldCharType="end"/>
            </w:r>
          </w:hyperlink>
        </w:p>
        <w:p w14:paraId="10327242" w14:textId="3FE28A2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330847257">
            <w:r w:rsidRPr="54AD4DA9">
              <w:rPr>
                <w:rStyle w:val="Hyperlink"/>
              </w:rPr>
              <w:t>3.2.6 Missing Enforcement Mechanisms</w:t>
            </w:r>
            <w:r w:rsidR="006A7045">
              <w:tab/>
            </w:r>
            <w:r w:rsidR="006A7045">
              <w:fldChar w:fldCharType="begin"/>
            </w:r>
            <w:r w:rsidR="006A7045">
              <w:instrText>PAGEREF _Toc330847257 \h</w:instrText>
            </w:r>
            <w:r w:rsidR="006A7045">
              <w:fldChar w:fldCharType="separate"/>
            </w:r>
            <w:r w:rsidRPr="54AD4DA9">
              <w:rPr>
                <w:rStyle w:val="Hyperlink"/>
              </w:rPr>
              <w:t>8</w:t>
            </w:r>
            <w:r w:rsidR="006A7045">
              <w:fldChar w:fldCharType="end"/>
            </w:r>
          </w:hyperlink>
        </w:p>
        <w:p w14:paraId="7A560A37" w14:textId="30FB195A"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804171779">
            <w:r w:rsidRPr="54AD4DA9">
              <w:rPr>
                <w:rStyle w:val="Hyperlink"/>
              </w:rPr>
              <w:t>3.3 Why These Gaps Matter</w:t>
            </w:r>
            <w:r w:rsidR="006A7045">
              <w:tab/>
            </w:r>
            <w:r w:rsidR="006A7045">
              <w:fldChar w:fldCharType="begin"/>
            </w:r>
            <w:r w:rsidR="006A7045">
              <w:instrText>PAGEREF _Toc1804171779 \h</w:instrText>
            </w:r>
            <w:r w:rsidR="006A7045">
              <w:fldChar w:fldCharType="separate"/>
            </w:r>
            <w:r w:rsidRPr="54AD4DA9">
              <w:rPr>
                <w:rStyle w:val="Hyperlink"/>
              </w:rPr>
              <w:t>8</w:t>
            </w:r>
            <w:r w:rsidR="006A7045">
              <w:fldChar w:fldCharType="end"/>
            </w:r>
          </w:hyperlink>
        </w:p>
        <w:p w14:paraId="51D2E1AE" w14:textId="4C96F6BC"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262639049">
            <w:r w:rsidRPr="54AD4DA9">
              <w:rPr>
                <w:rStyle w:val="Hyperlink"/>
              </w:rPr>
              <w:t>4. Principles and Legal Foundation</w:t>
            </w:r>
            <w:r w:rsidR="006A7045">
              <w:tab/>
            </w:r>
            <w:r w:rsidR="006A7045">
              <w:fldChar w:fldCharType="begin"/>
            </w:r>
            <w:r w:rsidR="006A7045">
              <w:instrText>PAGEREF _Toc262639049 \h</w:instrText>
            </w:r>
            <w:r w:rsidR="006A7045">
              <w:fldChar w:fldCharType="separate"/>
            </w:r>
            <w:r w:rsidRPr="54AD4DA9">
              <w:rPr>
                <w:rStyle w:val="Hyperlink"/>
              </w:rPr>
              <w:t>9</w:t>
            </w:r>
            <w:r w:rsidR="006A7045">
              <w:fldChar w:fldCharType="end"/>
            </w:r>
          </w:hyperlink>
        </w:p>
        <w:p w14:paraId="2228BA3D" w14:textId="434C0130"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224175216">
            <w:r w:rsidRPr="54AD4DA9">
              <w:rPr>
                <w:rStyle w:val="Hyperlink"/>
              </w:rPr>
              <w:t>4.1 Binding Legal Requirements</w:t>
            </w:r>
            <w:r w:rsidR="006A7045">
              <w:tab/>
            </w:r>
            <w:r w:rsidR="006A7045">
              <w:fldChar w:fldCharType="begin"/>
            </w:r>
            <w:r w:rsidR="006A7045">
              <w:instrText>PAGEREF _Toc224175216 \h</w:instrText>
            </w:r>
            <w:r w:rsidR="006A7045">
              <w:fldChar w:fldCharType="separate"/>
            </w:r>
            <w:r w:rsidRPr="54AD4DA9">
              <w:rPr>
                <w:rStyle w:val="Hyperlink"/>
              </w:rPr>
              <w:t>10</w:t>
            </w:r>
            <w:r w:rsidR="006A7045">
              <w:fldChar w:fldCharType="end"/>
            </w:r>
          </w:hyperlink>
        </w:p>
        <w:p w14:paraId="0F7D6A77" w14:textId="24DBBC5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759228488">
            <w:r w:rsidRPr="54AD4DA9">
              <w:rPr>
                <w:rStyle w:val="Hyperlink"/>
              </w:rPr>
              <w:t>4.1.1 GDPR Article 5 – How data is allowed to be handled</w:t>
            </w:r>
            <w:r w:rsidR="006A7045">
              <w:tab/>
            </w:r>
            <w:r w:rsidR="006A7045">
              <w:fldChar w:fldCharType="begin"/>
            </w:r>
            <w:r w:rsidR="006A7045">
              <w:instrText>PAGEREF _Toc1759228488 \h</w:instrText>
            </w:r>
            <w:r w:rsidR="006A7045">
              <w:fldChar w:fldCharType="separate"/>
            </w:r>
            <w:r w:rsidRPr="54AD4DA9">
              <w:rPr>
                <w:rStyle w:val="Hyperlink"/>
              </w:rPr>
              <w:t>10</w:t>
            </w:r>
            <w:r w:rsidR="006A7045">
              <w:fldChar w:fldCharType="end"/>
            </w:r>
          </w:hyperlink>
        </w:p>
        <w:p w14:paraId="596A0276" w14:textId="5BAD5EEC"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227531421">
            <w:r w:rsidRPr="54AD4DA9">
              <w:rPr>
                <w:rStyle w:val="Hyperlink"/>
              </w:rPr>
              <w:t>4.1.2 GDPR Article 25 – Building privacy in from the start</w:t>
            </w:r>
            <w:r w:rsidR="006A7045">
              <w:tab/>
            </w:r>
            <w:r w:rsidR="006A7045">
              <w:fldChar w:fldCharType="begin"/>
            </w:r>
            <w:r w:rsidR="006A7045">
              <w:instrText>PAGEREF _Toc227531421 \h</w:instrText>
            </w:r>
            <w:r w:rsidR="006A7045">
              <w:fldChar w:fldCharType="separate"/>
            </w:r>
            <w:r w:rsidRPr="54AD4DA9">
              <w:rPr>
                <w:rStyle w:val="Hyperlink"/>
              </w:rPr>
              <w:t>10</w:t>
            </w:r>
            <w:r w:rsidR="006A7045">
              <w:fldChar w:fldCharType="end"/>
            </w:r>
          </w:hyperlink>
        </w:p>
        <w:p w14:paraId="52ED61A7" w14:textId="7340913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2084687664">
            <w:r w:rsidRPr="54AD4DA9">
              <w:rPr>
                <w:rStyle w:val="Hyperlink"/>
              </w:rPr>
              <w:t>4.1.3 GDPR Article 35 – Assessing risks before they materialize</w:t>
            </w:r>
            <w:r w:rsidR="006A7045">
              <w:tab/>
            </w:r>
            <w:r w:rsidR="006A7045">
              <w:fldChar w:fldCharType="begin"/>
            </w:r>
            <w:r w:rsidR="006A7045">
              <w:instrText>PAGEREF _Toc2084687664 \h</w:instrText>
            </w:r>
            <w:r w:rsidR="006A7045">
              <w:fldChar w:fldCharType="separate"/>
            </w:r>
            <w:r w:rsidRPr="54AD4DA9">
              <w:rPr>
                <w:rStyle w:val="Hyperlink"/>
              </w:rPr>
              <w:t>10</w:t>
            </w:r>
            <w:r w:rsidR="006A7045">
              <w:fldChar w:fldCharType="end"/>
            </w:r>
          </w:hyperlink>
        </w:p>
        <w:p w14:paraId="77C81603" w14:textId="691E5E4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551010788">
            <w:r w:rsidRPr="54AD4DA9">
              <w:rPr>
                <w:rStyle w:val="Hyperlink"/>
              </w:rPr>
              <w:t>4.1.4 GDPR Article 30 – Knowing what is being done with data</w:t>
            </w:r>
            <w:r w:rsidR="006A7045">
              <w:tab/>
            </w:r>
            <w:r w:rsidR="006A7045">
              <w:fldChar w:fldCharType="begin"/>
            </w:r>
            <w:r w:rsidR="006A7045">
              <w:instrText>PAGEREF _Toc551010788 \h</w:instrText>
            </w:r>
            <w:r w:rsidR="006A7045">
              <w:fldChar w:fldCharType="separate"/>
            </w:r>
            <w:r w:rsidRPr="54AD4DA9">
              <w:rPr>
                <w:rStyle w:val="Hyperlink"/>
              </w:rPr>
              <w:t>10</w:t>
            </w:r>
            <w:r w:rsidR="006A7045">
              <w:fldChar w:fldCharType="end"/>
            </w:r>
          </w:hyperlink>
        </w:p>
        <w:p w14:paraId="520162D5" w14:textId="3C4FB891"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942337484">
            <w:r w:rsidRPr="54AD4DA9">
              <w:rPr>
                <w:rStyle w:val="Hyperlink"/>
              </w:rPr>
              <w:t>4.1.5 Data Governance Act – Keeping intermediaries genuinely neutral</w:t>
            </w:r>
            <w:r w:rsidR="006A7045">
              <w:tab/>
            </w:r>
            <w:r w:rsidR="006A7045">
              <w:fldChar w:fldCharType="begin"/>
            </w:r>
            <w:r w:rsidR="006A7045">
              <w:instrText>PAGEREF _Toc942337484 \h</w:instrText>
            </w:r>
            <w:r w:rsidR="006A7045">
              <w:fldChar w:fldCharType="separate"/>
            </w:r>
            <w:r w:rsidRPr="54AD4DA9">
              <w:rPr>
                <w:rStyle w:val="Hyperlink"/>
              </w:rPr>
              <w:t>10</w:t>
            </w:r>
            <w:r w:rsidR="006A7045">
              <w:fldChar w:fldCharType="end"/>
            </w:r>
          </w:hyperlink>
        </w:p>
        <w:p w14:paraId="1A395508" w14:textId="40DC84D7"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699854963">
            <w:r w:rsidRPr="54AD4DA9">
              <w:rPr>
                <w:rStyle w:val="Hyperlink"/>
              </w:rPr>
              <w:t>4.1.6 Data Act – Agreeing on what data can be used for</w:t>
            </w:r>
            <w:r w:rsidR="006A7045">
              <w:tab/>
            </w:r>
            <w:r w:rsidR="006A7045">
              <w:fldChar w:fldCharType="begin"/>
            </w:r>
            <w:r w:rsidR="006A7045">
              <w:instrText>PAGEREF _Toc1699854963 \h</w:instrText>
            </w:r>
            <w:r w:rsidR="006A7045">
              <w:fldChar w:fldCharType="separate"/>
            </w:r>
            <w:r w:rsidRPr="54AD4DA9">
              <w:rPr>
                <w:rStyle w:val="Hyperlink"/>
              </w:rPr>
              <w:t>11</w:t>
            </w:r>
            <w:r w:rsidR="006A7045">
              <w:fldChar w:fldCharType="end"/>
            </w:r>
          </w:hyperlink>
        </w:p>
        <w:p w14:paraId="247FCA9B" w14:textId="2C61BA3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657591827">
            <w:r w:rsidRPr="54AD4DA9">
              <w:rPr>
                <w:rStyle w:val="Hyperlink"/>
              </w:rPr>
              <w:t>4.1.7 NIS2 – Keeping the system that  carry data secure</w:t>
            </w:r>
            <w:r w:rsidR="006A7045">
              <w:tab/>
            </w:r>
            <w:r w:rsidR="006A7045">
              <w:fldChar w:fldCharType="begin"/>
            </w:r>
            <w:r w:rsidR="006A7045">
              <w:instrText>PAGEREF _Toc1657591827 \h</w:instrText>
            </w:r>
            <w:r w:rsidR="006A7045">
              <w:fldChar w:fldCharType="separate"/>
            </w:r>
            <w:r w:rsidRPr="54AD4DA9">
              <w:rPr>
                <w:rStyle w:val="Hyperlink"/>
              </w:rPr>
              <w:t>11</w:t>
            </w:r>
            <w:r w:rsidR="006A7045">
              <w:fldChar w:fldCharType="end"/>
            </w:r>
          </w:hyperlink>
        </w:p>
        <w:p w14:paraId="558C66B6" w14:textId="1FA99E5A"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26307883">
            <w:r w:rsidRPr="54AD4DA9">
              <w:rPr>
                <w:rStyle w:val="Hyperlink"/>
              </w:rPr>
              <w:t>4.2 Ethical Principles as Governance Requirements</w:t>
            </w:r>
            <w:r w:rsidR="006A7045">
              <w:tab/>
            </w:r>
            <w:r w:rsidR="006A7045">
              <w:fldChar w:fldCharType="begin"/>
            </w:r>
            <w:r w:rsidR="006A7045">
              <w:instrText>PAGEREF _Toc126307883 \h</w:instrText>
            </w:r>
            <w:r w:rsidR="006A7045">
              <w:fldChar w:fldCharType="separate"/>
            </w:r>
            <w:r w:rsidRPr="54AD4DA9">
              <w:rPr>
                <w:rStyle w:val="Hyperlink"/>
              </w:rPr>
              <w:t>11</w:t>
            </w:r>
            <w:r w:rsidR="006A7045">
              <w:fldChar w:fldCharType="end"/>
            </w:r>
          </w:hyperlink>
        </w:p>
        <w:p w14:paraId="064D3C1F" w14:textId="2CD4E846"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382254619">
            <w:r w:rsidRPr="54AD4DA9">
              <w:rPr>
                <w:rStyle w:val="Hyperlink"/>
              </w:rPr>
              <w:t>4.2.1 Privacy: Re-identification Assessment Procedure</w:t>
            </w:r>
            <w:r w:rsidR="006A7045">
              <w:tab/>
            </w:r>
            <w:r w:rsidR="006A7045">
              <w:fldChar w:fldCharType="begin"/>
            </w:r>
            <w:r w:rsidR="006A7045">
              <w:instrText>PAGEREF _Toc382254619 \h</w:instrText>
            </w:r>
            <w:r w:rsidR="006A7045">
              <w:fldChar w:fldCharType="separate"/>
            </w:r>
            <w:r w:rsidRPr="54AD4DA9">
              <w:rPr>
                <w:rStyle w:val="Hyperlink"/>
              </w:rPr>
              <w:t>11</w:t>
            </w:r>
            <w:r w:rsidR="006A7045">
              <w:fldChar w:fldCharType="end"/>
            </w:r>
          </w:hyperlink>
        </w:p>
        <w:p w14:paraId="5C08293B" w14:textId="37AFD7EB"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65640517">
            <w:r w:rsidRPr="54AD4DA9">
              <w:rPr>
                <w:rStyle w:val="Hyperlink"/>
              </w:rPr>
              <w:t>4.2.2 Transparency: Audit Log and Citizen Communication Obligations</w:t>
            </w:r>
            <w:r w:rsidR="006A7045">
              <w:tab/>
            </w:r>
            <w:r w:rsidR="006A7045">
              <w:fldChar w:fldCharType="begin"/>
            </w:r>
            <w:r w:rsidR="006A7045">
              <w:instrText>PAGEREF _Toc1365640517 \h</w:instrText>
            </w:r>
            <w:r w:rsidR="006A7045">
              <w:fldChar w:fldCharType="separate"/>
            </w:r>
            <w:r w:rsidRPr="54AD4DA9">
              <w:rPr>
                <w:rStyle w:val="Hyperlink"/>
              </w:rPr>
              <w:t>12</w:t>
            </w:r>
            <w:r w:rsidR="006A7045">
              <w:fldChar w:fldCharType="end"/>
            </w:r>
          </w:hyperlink>
        </w:p>
        <w:p w14:paraId="4022B093" w14:textId="17303E97"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386861689">
            <w:r w:rsidRPr="54AD4DA9">
              <w:rPr>
                <w:rStyle w:val="Hyperlink"/>
              </w:rPr>
              <w:t>4.2.3 Accountability: Named Responsible Actor for Data Acitivity</w:t>
            </w:r>
            <w:r w:rsidR="006A7045">
              <w:tab/>
            </w:r>
            <w:r w:rsidR="006A7045">
              <w:fldChar w:fldCharType="begin"/>
            </w:r>
            <w:r w:rsidR="006A7045">
              <w:instrText>PAGEREF _Toc386861689 \h</w:instrText>
            </w:r>
            <w:r w:rsidR="006A7045">
              <w:fldChar w:fldCharType="separate"/>
            </w:r>
            <w:r w:rsidRPr="54AD4DA9">
              <w:rPr>
                <w:rStyle w:val="Hyperlink"/>
              </w:rPr>
              <w:t>12</w:t>
            </w:r>
            <w:r w:rsidR="006A7045">
              <w:fldChar w:fldCharType="end"/>
            </w:r>
          </w:hyperlink>
        </w:p>
        <w:p w14:paraId="0DDCBFB6" w14:textId="0E55C220"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595713962">
            <w:r w:rsidRPr="54AD4DA9">
              <w:rPr>
                <w:rStyle w:val="Hyperlink"/>
              </w:rPr>
              <w:t>4.2.4 Equity: Mandatory Bias Checks</w:t>
            </w:r>
            <w:r w:rsidR="006A7045">
              <w:tab/>
            </w:r>
            <w:r w:rsidR="006A7045">
              <w:fldChar w:fldCharType="begin"/>
            </w:r>
            <w:r w:rsidR="006A7045">
              <w:instrText>PAGEREF _Toc595713962 \h</w:instrText>
            </w:r>
            <w:r w:rsidR="006A7045">
              <w:fldChar w:fldCharType="separate"/>
            </w:r>
            <w:r w:rsidRPr="54AD4DA9">
              <w:rPr>
                <w:rStyle w:val="Hyperlink"/>
              </w:rPr>
              <w:t>12</w:t>
            </w:r>
            <w:r w:rsidR="006A7045">
              <w:fldChar w:fldCharType="end"/>
            </w:r>
          </w:hyperlink>
        </w:p>
        <w:p w14:paraId="68B36775" w14:textId="22FDC43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838156523">
            <w:r w:rsidRPr="54AD4DA9">
              <w:rPr>
                <w:rStyle w:val="Hyperlink"/>
              </w:rPr>
              <w:t>4.2.5 Human-Centered Design</w:t>
            </w:r>
            <w:r w:rsidR="006A7045">
              <w:tab/>
            </w:r>
            <w:r w:rsidR="006A7045">
              <w:fldChar w:fldCharType="begin"/>
            </w:r>
            <w:r w:rsidR="006A7045">
              <w:instrText>PAGEREF _Toc838156523 \h</w:instrText>
            </w:r>
            <w:r w:rsidR="006A7045">
              <w:fldChar w:fldCharType="separate"/>
            </w:r>
            <w:r w:rsidRPr="54AD4DA9">
              <w:rPr>
                <w:rStyle w:val="Hyperlink"/>
              </w:rPr>
              <w:t>13</w:t>
            </w:r>
            <w:r w:rsidR="006A7045">
              <w:fldChar w:fldCharType="end"/>
            </w:r>
          </w:hyperlink>
        </w:p>
        <w:p w14:paraId="4594D223" w14:textId="5A1A69F3"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755918278">
            <w:r w:rsidRPr="54AD4DA9">
              <w:rPr>
                <w:rStyle w:val="Hyperlink"/>
              </w:rPr>
              <w:t>4.3 Alignment with the DS4SSCC Blueprint</w:t>
            </w:r>
            <w:r w:rsidR="006A7045">
              <w:tab/>
            </w:r>
            <w:r w:rsidR="006A7045">
              <w:fldChar w:fldCharType="begin"/>
            </w:r>
            <w:r w:rsidR="006A7045">
              <w:instrText>PAGEREF _Toc1755918278 \h</w:instrText>
            </w:r>
            <w:r w:rsidR="006A7045">
              <w:fldChar w:fldCharType="separate"/>
            </w:r>
            <w:r w:rsidRPr="54AD4DA9">
              <w:rPr>
                <w:rStyle w:val="Hyperlink"/>
              </w:rPr>
              <w:t>13</w:t>
            </w:r>
            <w:r w:rsidR="006A7045">
              <w:fldChar w:fldCharType="end"/>
            </w:r>
          </w:hyperlink>
        </w:p>
        <w:p w14:paraId="794E725C" w14:textId="3A8B2974"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591050485">
            <w:r w:rsidRPr="54AD4DA9">
              <w:rPr>
                <w:rStyle w:val="Hyperlink"/>
              </w:rPr>
              <w:t>4.4 The FAIR and CARE Principles</w:t>
            </w:r>
            <w:r w:rsidR="006A7045">
              <w:tab/>
            </w:r>
            <w:r w:rsidR="006A7045">
              <w:fldChar w:fldCharType="begin"/>
            </w:r>
            <w:r w:rsidR="006A7045">
              <w:instrText>PAGEREF _Toc1591050485 \h</w:instrText>
            </w:r>
            <w:r w:rsidR="006A7045">
              <w:fldChar w:fldCharType="separate"/>
            </w:r>
            <w:r w:rsidRPr="54AD4DA9">
              <w:rPr>
                <w:rStyle w:val="Hyperlink"/>
              </w:rPr>
              <w:t>14</w:t>
            </w:r>
            <w:r w:rsidR="006A7045">
              <w:fldChar w:fldCharType="end"/>
            </w:r>
          </w:hyperlink>
        </w:p>
        <w:p w14:paraId="518637F8" w14:textId="02C953E4"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1345659251">
            <w:r w:rsidRPr="54AD4DA9">
              <w:rPr>
                <w:rStyle w:val="Hyperlink"/>
              </w:rPr>
              <w:t>5. The Governance Framework</w:t>
            </w:r>
            <w:r w:rsidR="006A7045">
              <w:tab/>
            </w:r>
            <w:r w:rsidR="006A7045">
              <w:fldChar w:fldCharType="begin"/>
            </w:r>
            <w:r w:rsidR="006A7045">
              <w:instrText>PAGEREF _Toc1345659251 \h</w:instrText>
            </w:r>
            <w:r w:rsidR="006A7045">
              <w:fldChar w:fldCharType="separate"/>
            </w:r>
            <w:r w:rsidRPr="54AD4DA9">
              <w:rPr>
                <w:rStyle w:val="Hyperlink"/>
              </w:rPr>
              <w:t>16</w:t>
            </w:r>
            <w:r w:rsidR="006A7045">
              <w:fldChar w:fldCharType="end"/>
            </w:r>
          </w:hyperlink>
        </w:p>
        <w:p w14:paraId="251E0B5F" w14:textId="795F2BC7"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759994958">
            <w:r w:rsidRPr="54AD4DA9">
              <w:rPr>
                <w:rStyle w:val="Hyperlink"/>
              </w:rPr>
              <w:t>5.1 Roles and Responsibilities</w:t>
            </w:r>
            <w:r w:rsidR="006A7045">
              <w:tab/>
            </w:r>
            <w:r w:rsidR="006A7045">
              <w:fldChar w:fldCharType="begin"/>
            </w:r>
            <w:r w:rsidR="006A7045">
              <w:instrText>PAGEREF _Toc1759994958 \h</w:instrText>
            </w:r>
            <w:r w:rsidR="006A7045">
              <w:fldChar w:fldCharType="separate"/>
            </w:r>
            <w:r w:rsidRPr="54AD4DA9">
              <w:rPr>
                <w:rStyle w:val="Hyperlink"/>
              </w:rPr>
              <w:t>17</w:t>
            </w:r>
            <w:r w:rsidR="006A7045">
              <w:fldChar w:fldCharType="end"/>
            </w:r>
          </w:hyperlink>
        </w:p>
        <w:p w14:paraId="0CA71308" w14:textId="4AF0DBE0"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469163000">
            <w:r w:rsidRPr="54AD4DA9">
              <w:rPr>
                <w:rStyle w:val="Hyperlink"/>
              </w:rPr>
              <w:t>5.1.1 Governance Authority</w:t>
            </w:r>
            <w:r w:rsidR="006A7045">
              <w:tab/>
            </w:r>
            <w:r w:rsidR="006A7045">
              <w:fldChar w:fldCharType="begin"/>
            </w:r>
            <w:r w:rsidR="006A7045">
              <w:instrText>PAGEREF _Toc469163000 \h</w:instrText>
            </w:r>
            <w:r w:rsidR="006A7045">
              <w:fldChar w:fldCharType="separate"/>
            </w:r>
            <w:r w:rsidRPr="54AD4DA9">
              <w:rPr>
                <w:rStyle w:val="Hyperlink"/>
              </w:rPr>
              <w:t>17</w:t>
            </w:r>
            <w:r w:rsidR="006A7045">
              <w:fldChar w:fldCharType="end"/>
            </w:r>
          </w:hyperlink>
        </w:p>
        <w:p w14:paraId="0091D361" w14:textId="5175475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09939732">
            <w:r w:rsidRPr="54AD4DA9">
              <w:rPr>
                <w:rStyle w:val="Hyperlink"/>
              </w:rPr>
              <w:t>5.1.2 Coordinating Entity</w:t>
            </w:r>
            <w:r w:rsidR="006A7045">
              <w:tab/>
            </w:r>
            <w:r w:rsidR="006A7045">
              <w:fldChar w:fldCharType="begin"/>
            </w:r>
            <w:r w:rsidR="006A7045">
              <w:instrText>PAGEREF _Toc1909939732 \h</w:instrText>
            </w:r>
            <w:r w:rsidR="006A7045">
              <w:fldChar w:fldCharType="separate"/>
            </w:r>
            <w:r w:rsidRPr="54AD4DA9">
              <w:rPr>
                <w:rStyle w:val="Hyperlink"/>
              </w:rPr>
              <w:t>17</w:t>
            </w:r>
            <w:r w:rsidR="006A7045">
              <w:fldChar w:fldCharType="end"/>
            </w:r>
          </w:hyperlink>
        </w:p>
        <w:p w14:paraId="7566EFED" w14:textId="6D64F9E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707799175">
            <w:r w:rsidRPr="54AD4DA9">
              <w:rPr>
                <w:rStyle w:val="Hyperlink"/>
              </w:rPr>
              <w:t>5.1.3 Data Provider</w:t>
            </w:r>
            <w:r w:rsidR="006A7045">
              <w:tab/>
            </w:r>
            <w:r w:rsidR="006A7045">
              <w:fldChar w:fldCharType="begin"/>
            </w:r>
            <w:r w:rsidR="006A7045">
              <w:instrText>PAGEREF _Toc707799175 \h</w:instrText>
            </w:r>
            <w:r w:rsidR="006A7045">
              <w:fldChar w:fldCharType="separate"/>
            </w:r>
            <w:r w:rsidRPr="54AD4DA9">
              <w:rPr>
                <w:rStyle w:val="Hyperlink"/>
              </w:rPr>
              <w:t>18</w:t>
            </w:r>
            <w:r w:rsidR="006A7045">
              <w:fldChar w:fldCharType="end"/>
            </w:r>
          </w:hyperlink>
        </w:p>
        <w:p w14:paraId="090F4014" w14:textId="63466CAD"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72005644">
            <w:r w:rsidRPr="54AD4DA9">
              <w:rPr>
                <w:rStyle w:val="Hyperlink"/>
              </w:rPr>
              <w:t>5.1.4 Data User</w:t>
            </w:r>
            <w:r w:rsidR="006A7045">
              <w:tab/>
            </w:r>
            <w:r w:rsidR="006A7045">
              <w:fldChar w:fldCharType="begin"/>
            </w:r>
            <w:r w:rsidR="006A7045">
              <w:instrText>PAGEREF _Toc1972005644 \h</w:instrText>
            </w:r>
            <w:r w:rsidR="006A7045">
              <w:fldChar w:fldCharType="separate"/>
            </w:r>
            <w:r w:rsidRPr="54AD4DA9">
              <w:rPr>
                <w:rStyle w:val="Hyperlink"/>
              </w:rPr>
              <w:t>18</w:t>
            </w:r>
            <w:r w:rsidR="006A7045">
              <w:fldChar w:fldCharType="end"/>
            </w:r>
          </w:hyperlink>
        </w:p>
        <w:p w14:paraId="2919EA5A" w14:textId="03740BC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45167887">
            <w:r w:rsidRPr="54AD4DA9">
              <w:rPr>
                <w:rStyle w:val="Hyperlink"/>
              </w:rPr>
              <w:t>5.1.5 Intermediary</w:t>
            </w:r>
            <w:r w:rsidR="006A7045">
              <w:tab/>
            </w:r>
            <w:r w:rsidR="006A7045">
              <w:fldChar w:fldCharType="begin"/>
            </w:r>
            <w:r w:rsidR="006A7045">
              <w:instrText>PAGEREF _Toc1345167887 \h</w:instrText>
            </w:r>
            <w:r w:rsidR="006A7045">
              <w:fldChar w:fldCharType="separate"/>
            </w:r>
            <w:r w:rsidRPr="54AD4DA9">
              <w:rPr>
                <w:rStyle w:val="Hyperlink"/>
              </w:rPr>
              <w:t>18</w:t>
            </w:r>
            <w:r w:rsidR="006A7045">
              <w:fldChar w:fldCharType="end"/>
            </w:r>
          </w:hyperlink>
        </w:p>
        <w:p w14:paraId="6240432E" w14:textId="0F27DC57"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68883896">
            <w:r w:rsidRPr="54AD4DA9">
              <w:rPr>
                <w:rStyle w:val="Hyperlink"/>
              </w:rPr>
              <w:t>5.1.6 Reference Person</w:t>
            </w:r>
            <w:r w:rsidR="006A7045">
              <w:tab/>
            </w:r>
            <w:r w:rsidR="006A7045">
              <w:fldChar w:fldCharType="begin"/>
            </w:r>
            <w:r w:rsidR="006A7045">
              <w:instrText>PAGEREF _Toc1268883896 \h</w:instrText>
            </w:r>
            <w:r w:rsidR="006A7045">
              <w:fldChar w:fldCharType="separate"/>
            </w:r>
            <w:r w:rsidRPr="54AD4DA9">
              <w:rPr>
                <w:rStyle w:val="Hyperlink"/>
              </w:rPr>
              <w:t>19</w:t>
            </w:r>
            <w:r w:rsidR="006A7045">
              <w:fldChar w:fldCharType="end"/>
            </w:r>
          </w:hyperlink>
        </w:p>
        <w:p w14:paraId="565E164C" w14:textId="19DA654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366645873">
            <w:r w:rsidRPr="54AD4DA9">
              <w:rPr>
                <w:rStyle w:val="Hyperlink"/>
              </w:rPr>
              <w:t>5.1.7 The Municipality’s Dual Role</w:t>
            </w:r>
            <w:r w:rsidR="006A7045">
              <w:tab/>
            </w:r>
            <w:r w:rsidR="006A7045">
              <w:fldChar w:fldCharType="begin"/>
            </w:r>
            <w:r w:rsidR="006A7045">
              <w:instrText>PAGEREF _Toc366645873 \h</w:instrText>
            </w:r>
            <w:r w:rsidR="006A7045">
              <w:fldChar w:fldCharType="separate"/>
            </w:r>
            <w:r w:rsidRPr="54AD4DA9">
              <w:rPr>
                <w:rStyle w:val="Hyperlink"/>
              </w:rPr>
              <w:t>19</w:t>
            </w:r>
            <w:r w:rsidR="006A7045">
              <w:fldChar w:fldCharType="end"/>
            </w:r>
          </w:hyperlink>
        </w:p>
        <w:p w14:paraId="728A5299" w14:textId="0AB9EBC9"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24852848">
            <w:r w:rsidRPr="54AD4DA9">
              <w:rPr>
                <w:rStyle w:val="Hyperlink"/>
              </w:rPr>
              <w:t>5.2 Data Sharing Agreements</w:t>
            </w:r>
            <w:r w:rsidR="006A7045">
              <w:tab/>
            </w:r>
            <w:r w:rsidR="006A7045">
              <w:fldChar w:fldCharType="begin"/>
            </w:r>
            <w:r w:rsidR="006A7045">
              <w:instrText>PAGEREF _Toc124852848 \h</w:instrText>
            </w:r>
            <w:r w:rsidR="006A7045">
              <w:fldChar w:fldCharType="separate"/>
            </w:r>
            <w:r w:rsidRPr="54AD4DA9">
              <w:rPr>
                <w:rStyle w:val="Hyperlink"/>
              </w:rPr>
              <w:t>20</w:t>
            </w:r>
            <w:r w:rsidR="006A7045">
              <w:fldChar w:fldCharType="end"/>
            </w:r>
          </w:hyperlink>
        </w:p>
        <w:p w14:paraId="3F8FB47D" w14:textId="7D3012C2"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36821425">
            <w:r w:rsidRPr="54AD4DA9">
              <w:rPr>
                <w:rStyle w:val="Hyperlink"/>
              </w:rPr>
              <w:t>5.2.1 Founding Agreement</w:t>
            </w:r>
            <w:r w:rsidR="006A7045">
              <w:tab/>
            </w:r>
            <w:r w:rsidR="006A7045">
              <w:fldChar w:fldCharType="begin"/>
            </w:r>
            <w:r w:rsidR="006A7045">
              <w:instrText>PAGEREF _Toc1936821425 \h</w:instrText>
            </w:r>
            <w:r w:rsidR="006A7045">
              <w:fldChar w:fldCharType="separate"/>
            </w:r>
            <w:r w:rsidRPr="54AD4DA9">
              <w:rPr>
                <w:rStyle w:val="Hyperlink"/>
              </w:rPr>
              <w:t>20</w:t>
            </w:r>
            <w:r w:rsidR="006A7045">
              <w:fldChar w:fldCharType="end"/>
            </w:r>
          </w:hyperlink>
        </w:p>
        <w:p w14:paraId="070BF176" w14:textId="34C292CB"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003883367">
            <w:r w:rsidRPr="54AD4DA9">
              <w:rPr>
                <w:rStyle w:val="Hyperlink"/>
              </w:rPr>
              <w:t>5.2.2 Membership Agreement</w:t>
            </w:r>
            <w:r w:rsidR="006A7045">
              <w:tab/>
            </w:r>
            <w:r w:rsidR="006A7045">
              <w:fldChar w:fldCharType="begin"/>
            </w:r>
            <w:r w:rsidR="006A7045">
              <w:instrText>PAGEREF _Toc1003883367 \h</w:instrText>
            </w:r>
            <w:r w:rsidR="006A7045">
              <w:fldChar w:fldCharType="separate"/>
            </w:r>
            <w:r w:rsidRPr="54AD4DA9">
              <w:rPr>
                <w:rStyle w:val="Hyperlink"/>
              </w:rPr>
              <w:t>21</w:t>
            </w:r>
            <w:r w:rsidR="006A7045">
              <w:fldChar w:fldCharType="end"/>
            </w:r>
          </w:hyperlink>
        </w:p>
        <w:p w14:paraId="703AEB5E" w14:textId="62F6754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489413440">
            <w:r w:rsidRPr="54AD4DA9">
              <w:rPr>
                <w:rStyle w:val="Hyperlink"/>
              </w:rPr>
              <w:t>5.2.3 Data Sharing Agreements</w:t>
            </w:r>
            <w:r w:rsidR="006A7045">
              <w:tab/>
            </w:r>
            <w:r w:rsidR="006A7045">
              <w:fldChar w:fldCharType="begin"/>
            </w:r>
            <w:r w:rsidR="006A7045">
              <w:instrText>PAGEREF _Toc1489413440 \h</w:instrText>
            </w:r>
            <w:r w:rsidR="006A7045">
              <w:fldChar w:fldCharType="separate"/>
            </w:r>
            <w:r w:rsidRPr="54AD4DA9">
              <w:rPr>
                <w:rStyle w:val="Hyperlink"/>
              </w:rPr>
              <w:t>21</w:t>
            </w:r>
            <w:r w:rsidR="006A7045">
              <w:fldChar w:fldCharType="end"/>
            </w:r>
          </w:hyperlink>
        </w:p>
        <w:p w14:paraId="1F647B7F" w14:textId="48BDADBD"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697126293">
            <w:r w:rsidRPr="54AD4DA9">
              <w:rPr>
                <w:rStyle w:val="Hyperlink"/>
              </w:rPr>
              <w:t>5.3 Access and Usage Policies: Open Data</w:t>
            </w:r>
            <w:r w:rsidR="006A7045">
              <w:tab/>
            </w:r>
            <w:r w:rsidR="006A7045">
              <w:fldChar w:fldCharType="begin"/>
            </w:r>
            <w:r w:rsidR="006A7045">
              <w:instrText>PAGEREF _Toc1697126293 \h</w:instrText>
            </w:r>
            <w:r w:rsidR="006A7045">
              <w:fldChar w:fldCharType="separate"/>
            </w:r>
            <w:r w:rsidRPr="54AD4DA9">
              <w:rPr>
                <w:rStyle w:val="Hyperlink"/>
              </w:rPr>
              <w:t>22</w:t>
            </w:r>
            <w:r w:rsidR="006A7045">
              <w:fldChar w:fldCharType="end"/>
            </w:r>
          </w:hyperlink>
        </w:p>
        <w:p w14:paraId="6CE284D6" w14:textId="068FA765"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769203784">
            <w:r w:rsidRPr="54AD4DA9">
              <w:rPr>
                <w:rStyle w:val="Hyperlink"/>
              </w:rPr>
              <w:t>5.4 Access and Usage Policies: Restricted Data (lotte)</w:t>
            </w:r>
            <w:r w:rsidR="006A7045">
              <w:tab/>
            </w:r>
            <w:r w:rsidR="006A7045">
              <w:fldChar w:fldCharType="begin"/>
            </w:r>
            <w:r w:rsidR="006A7045">
              <w:instrText>PAGEREF _Toc1769203784 \h</w:instrText>
            </w:r>
            <w:r w:rsidR="006A7045">
              <w:fldChar w:fldCharType="separate"/>
            </w:r>
            <w:r w:rsidRPr="54AD4DA9">
              <w:rPr>
                <w:rStyle w:val="Hyperlink"/>
              </w:rPr>
              <w:t>23</w:t>
            </w:r>
            <w:r w:rsidR="006A7045">
              <w:fldChar w:fldCharType="end"/>
            </w:r>
          </w:hyperlink>
        </w:p>
        <w:p w14:paraId="490EED71" w14:textId="4FC3187B"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847401724">
            <w:r w:rsidRPr="54AD4DA9">
              <w:rPr>
                <w:rStyle w:val="Hyperlink"/>
              </w:rPr>
              <w:t>5.4.1 What a Request Must Contain</w:t>
            </w:r>
            <w:r w:rsidR="006A7045">
              <w:tab/>
            </w:r>
            <w:r w:rsidR="006A7045">
              <w:fldChar w:fldCharType="begin"/>
            </w:r>
            <w:r w:rsidR="006A7045">
              <w:instrText>PAGEREF _Toc847401724 \h</w:instrText>
            </w:r>
            <w:r w:rsidR="006A7045">
              <w:fldChar w:fldCharType="separate"/>
            </w:r>
            <w:r w:rsidRPr="54AD4DA9">
              <w:rPr>
                <w:rStyle w:val="Hyperlink"/>
              </w:rPr>
              <w:t>23</w:t>
            </w:r>
            <w:r w:rsidR="006A7045">
              <w:fldChar w:fldCharType="end"/>
            </w:r>
          </w:hyperlink>
        </w:p>
        <w:p w14:paraId="5CB7F0E0" w14:textId="2471675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812717525">
            <w:r w:rsidRPr="54AD4DA9">
              <w:rPr>
                <w:rStyle w:val="Hyperlink"/>
              </w:rPr>
              <w:t>5.4.2 Requester Profile Assessment</w:t>
            </w:r>
            <w:r w:rsidR="006A7045">
              <w:tab/>
            </w:r>
            <w:r w:rsidR="006A7045">
              <w:fldChar w:fldCharType="begin"/>
            </w:r>
            <w:r w:rsidR="006A7045">
              <w:instrText>PAGEREF _Toc1812717525 \h</w:instrText>
            </w:r>
            <w:r w:rsidR="006A7045">
              <w:fldChar w:fldCharType="separate"/>
            </w:r>
            <w:r w:rsidRPr="54AD4DA9">
              <w:rPr>
                <w:rStyle w:val="Hyperlink"/>
              </w:rPr>
              <w:t>24</w:t>
            </w:r>
            <w:r w:rsidR="006A7045">
              <w:fldChar w:fldCharType="end"/>
            </w:r>
          </w:hyperlink>
        </w:p>
        <w:p w14:paraId="17A09FA3" w14:textId="5CA2F340"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607774452">
            <w:r w:rsidRPr="54AD4DA9">
              <w:rPr>
                <w:rStyle w:val="Hyperlink"/>
              </w:rPr>
              <w:t>5.4.3 Approval Criteria</w:t>
            </w:r>
            <w:r w:rsidR="006A7045">
              <w:tab/>
            </w:r>
            <w:r w:rsidR="006A7045">
              <w:fldChar w:fldCharType="begin"/>
            </w:r>
            <w:r w:rsidR="006A7045">
              <w:instrText>PAGEREF _Toc607774452 \h</w:instrText>
            </w:r>
            <w:r w:rsidR="006A7045">
              <w:fldChar w:fldCharType="separate"/>
            </w:r>
            <w:r w:rsidRPr="54AD4DA9">
              <w:rPr>
                <w:rStyle w:val="Hyperlink"/>
              </w:rPr>
              <w:t>25</w:t>
            </w:r>
            <w:r w:rsidR="006A7045">
              <w:fldChar w:fldCharType="end"/>
            </w:r>
          </w:hyperlink>
        </w:p>
        <w:p w14:paraId="0818F707" w14:textId="5A2A5EB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7270397">
            <w:r w:rsidRPr="54AD4DA9">
              <w:rPr>
                <w:rStyle w:val="Hyperlink"/>
              </w:rPr>
              <w:t>5.4.4 Conditions Attached to Access</w:t>
            </w:r>
            <w:r w:rsidR="006A7045">
              <w:tab/>
            </w:r>
            <w:r w:rsidR="006A7045">
              <w:fldChar w:fldCharType="begin"/>
            </w:r>
            <w:r w:rsidR="006A7045">
              <w:instrText>PAGEREF _Toc137270397 \h</w:instrText>
            </w:r>
            <w:r w:rsidR="006A7045">
              <w:fldChar w:fldCharType="separate"/>
            </w:r>
            <w:r w:rsidRPr="54AD4DA9">
              <w:rPr>
                <w:rStyle w:val="Hyperlink"/>
              </w:rPr>
              <w:t>25</w:t>
            </w:r>
            <w:r w:rsidR="006A7045">
              <w:fldChar w:fldCharType="end"/>
            </w:r>
          </w:hyperlink>
        </w:p>
        <w:p w14:paraId="40C96D9B" w14:textId="2EA3501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441603623">
            <w:r w:rsidRPr="54AD4DA9">
              <w:rPr>
                <w:rStyle w:val="Hyperlink"/>
              </w:rPr>
              <w:t>5.4.5 Grounds for Denial</w:t>
            </w:r>
            <w:r w:rsidR="006A7045">
              <w:tab/>
            </w:r>
            <w:r w:rsidR="006A7045">
              <w:fldChar w:fldCharType="begin"/>
            </w:r>
            <w:r w:rsidR="006A7045">
              <w:instrText>PAGEREF _Toc1441603623 \h</w:instrText>
            </w:r>
            <w:r w:rsidR="006A7045">
              <w:fldChar w:fldCharType="separate"/>
            </w:r>
            <w:r w:rsidRPr="54AD4DA9">
              <w:rPr>
                <w:rStyle w:val="Hyperlink"/>
              </w:rPr>
              <w:t>26</w:t>
            </w:r>
            <w:r w:rsidR="006A7045">
              <w:fldChar w:fldCharType="end"/>
            </w:r>
          </w:hyperlink>
        </w:p>
        <w:p w14:paraId="0A7EB7A4" w14:textId="47DF244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71009319">
            <w:r w:rsidRPr="54AD4DA9">
              <w:rPr>
                <w:rStyle w:val="Hyperlink"/>
              </w:rPr>
              <w:t>5.4.6 Appeals Process</w:t>
            </w:r>
            <w:r w:rsidR="006A7045">
              <w:tab/>
            </w:r>
            <w:r w:rsidR="006A7045">
              <w:fldChar w:fldCharType="begin"/>
            </w:r>
            <w:r w:rsidR="006A7045">
              <w:instrText>PAGEREF _Toc1571009319 \h</w:instrText>
            </w:r>
            <w:r w:rsidR="006A7045">
              <w:fldChar w:fldCharType="separate"/>
            </w:r>
            <w:r w:rsidRPr="54AD4DA9">
              <w:rPr>
                <w:rStyle w:val="Hyperlink"/>
              </w:rPr>
              <w:t>27</w:t>
            </w:r>
            <w:r w:rsidR="006A7045">
              <w:fldChar w:fldCharType="end"/>
            </w:r>
          </w:hyperlink>
        </w:p>
        <w:p w14:paraId="3A57CA5F" w14:textId="06F96E34"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745744983">
            <w:r w:rsidRPr="54AD4DA9">
              <w:rPr>
                <w:rStyle w:val="Hyperlink"/>
              </w:rPr>
              <w:t>5.5 Onboarding Procedures</w:t>
            </w:r>
            <w:r w:rsidR="006A7045">
              <w:tab/>
            </w:r>
            <w:r w:rsidR="006A7045">
              <w:fldChar w:fldCharType="begin"/>
            </w:r>
            <w:r w:rsidR="006A7045">
              <w:instrText>PAGEREF _Toc1745744983 \h</w:instrText>
            </w:r>
            <w:r w:rsidR="006A7045">
              <w:fldChar w:fldCharType="separate"/>
            </w:r>
            <w:r w:rsidRPr="54AD4DA9">
              <w:rPr>
                <w:rStyle w:val="Hyperlink"/>
              </w:rPr>
              <w:t>27</w:t>
            </w:r>
            <w:r w:rsidR="006A7045">
              <w:fldChar w:fldCharType="end"/>
            </w:r>
          </w:hyperlink>
        </w:p>
        <w:p w14:paraId="54FB7667" w14:textId="7576261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11177975">
            <w:r w:rsidRPr="54AD4DA9">
              <w:rPr>
                <w:rStyle w:val="Hyperlink"/>
              </w:rPr>
              <w:t>5.5.1 Non-Technical Onboarding</w:t>
            </w:r>
            <w:r w:rsidR="006A7045">
              <w:tab/>
            </w:r>
            <w:r w:rsidR="006A7045">
              <w:fldChar w:fldCharType="begin"/>
            </w:r>
            <w:r w:rsidR="006A7045">
              <w:instrText>PAGEREF _Toc1311177975 \h</w:instrText>
            </w:r>
            <w:r w:rsidR="006A7045">
              <w:fldChar w:fldCharType="separate"/>
            </w:r>
            <w:r w:rsidRPr="54AD4DA9">
              <w:rPr>
                <w:rStyle w:val="Hyperlink"/>
              </w:rPr>
              <w:t>28</w:t>
            </w:r>
            <w:r w:rsidR="006A7045">
              <w:fldChar w:fldCharType="end"/>
            </w:r>
          </w:hyperlink>
        </w:p>
        <w:p w14:paraId="4DFA29BB" w14:textId="69BA7A22"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64410068">
            <w:r w:rsidRPr="54AD4DA9">
              <w:rPr>
                <w:rStyle w:val="Hyperlink"/>
              </w:rPr>
              <w:t>5.5.2 Technical Onboarding</w:t>
            </w:r>
            <w:r w:rsidR="006A7045">
              <w:tab/>
            </w:r>
            <w:r w:rsidR="006A7045">
              <w:fldChar w:fldCharType="begin"/>
            </w:r>
            <w:r w:rsidR="006A7045">
              <w:instrText>PAGEREF _Toc1264410068 \h</w:instrText>
            </w:r>
            <w:r w:rsidR="006A7045">
              <w:fldChar w:fldCharType="separate"/>
            </w:r>
            <w:r w:rsidRPr="54AD4DA9">
              <w:rPr>
                <w:rStyle w:val="Hyperlink"/>
              </w:rPr>
              <w:t>28</w:t>
            </w:r>
            <w:r w:rsidR="006A7045">
              <w:fldChar w:fldCharType="end"/>
            </w:r>
          </w:hyperlink>
        </w:p>
        <w:p w14:paraId="111FBC62" w14:textId="5910EC53"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837694867">
            <w:r w:rsidRPr="54AD4DA9">
              <w:rPr>
                <w:rStyle w:val="Hyperlink"/>
              </w:rPr>
              <w:t>5.5.3 Conditions for Onboarding Approval</w:t>
            </w:r>
            <w:r w:rsidR="006A7045">
              <w:tab/>
            </w:r>
            <w:r w:rsidR="006A7045">
              <w:fldChar w:fldCharType="begin"/>
            </w:r>
            <w:r w:rsidR="006A7045">
              <w:instrText>PAGEREF _Toc837694867 \h</w:instrText>
            </w:r>
            <w:r w:rsidR="006A7045">
              <w:fldChar w:fldCharType="separate"/>
            </w:r>
            <w:r w:rsidRPr="54AD4DA9">
              <w:rPr>
                <w:rStyle w:val="Hyperlink"/>
              </w:rPr>
              <w:t>29</w:t>
            </w:r>
            <w:r w:rsidR="006A7045">
              <w:fldChar w:fldCharType="end"/>
            </w:r>
          </w:hyperlink>
        </w:p>
        <w:p w14:paraId="098AC017" w14:textId="0A06BCF9"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2001140069">
            <w:r w:rsidRPr="54AD4DA9">
              <w:rPr>
                <w:rStyle w:val="Hyperlink"/>
              </w:rPr>
              <w:t>5.6 Monitoring, Auditing, and Compliance</w:t>
            </w:r>
            <w:r w:rsidR="006A7045">
              <w:tab/>
            </w:r>
            <w:r w:rsidR="006A7045">
              <w:fldChar w:fldCharType="begin"/>
            </w:r>
            <w:r w:rsidR="006A7045">
              <w:instrText>PAGEREF _Toc2001140069 \h</w:instrText>
            </w:r>
            <w:r w:rsidR="006A7045">
              <w:fldChar w:fldCharType="separate"/>
            </w:r>
            <w:r w:rsidRPr="54AD4DA9">
              <w:rPr>
                <w:rStyle w:val="Hyperlink"/>
              </w:rPr>
              <w:t>29</w:t>
            </w:r>
            <w:r w:rsidR="006A7045">
              <w:fldChar w:fldCharType="end"/>
            </w:r>
          </w:hyperlink>
        </w:p>
        <w:p w14:paraId="2AF7E695" w14:textId="3D8590F2"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608781523">
            <w:r w:rsidRPr="54AD4DA9">
              <w:rPr>
                <w:rStyle w:val="Hyperlink"/>
              </w:rPr>
              <w:t>5.6.1 API-Key Usage Tracking</w:t>
            </w:r>
            <w:r w:rsidR="006A7045">
              <w:tab/>
            </w:r>
            <w:r w:rsidR="006A7045">
              <w:fldChar w:fldCharType="begin"/>
            </w:r>
            <w:r w:rsidR="006A7045">
              <w:instrText>PAGEREF _Toc1608781523 \h</w:instrText>
            </w:r>
            <w:r w:rsidR="006A7045">
              <w:fldChar w:fldCharType="separate"/>
            </w:r>
            <w:r w:rsidRPr="54AD4DA9">
              <w:rPr>
                <w:rStyle w:val="Hyperlink"/>
              </w:rPr>
              <w:t>30</w:t>
            </w:r>
            <w:r w:rsidR="006A7045">
              <w:fldChar w:fldCharType="end"/>
            </w:r>
          </w:hyperlink>
        </w:p>
        <w:p w14:paraId="0355ACC3" w14:textId="7607740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45864403">
            <w:r w:rsidRPr="54AD4DA9">
              <w:rPr>
                <w:rStyle w:val="Hyperlink"/>
              </w:rPr>
              <w:t>5.6.2 Periodic Data Quality Checks</w:t>
            </w:r>
            <w:r w:rsidR="006A7045">
              <w:tab/>
            </w:r>
            <w:r w:rsidR="006A7045">
              <w:fldChar w:fldCharType="begin"/>
            </w:r>
            <w:r w:rsidR="006A7045">
              <w:instrText>PAGEREF _Toc1545864403 \h</w:instrText>
            </w:r>
            <w:r w:rsidR="006A7045">
              <w:fldChar w:fldCharType="separate"/>
            </w:r>
            <w:r w:rsidRPr="54AD4DA9">
              <w:rPr>
                <w:rStyle w:val="Hyperlink"/>
              </w:rPr>
              <w:t>30</w:t>
            </w:r>
            <w:r w:rsidR="006A7045">
              <w:fldChar w:fldCharType="end"/>
            </w:r>
          </w:hyperlink>
        </w:p>
        <w:p w14:paraId="08D16506" w14:textId="12E5663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851209084">
            <w:r w:rsidRPr="54AD4DA9">
              <w:rPr>
                <w:rStyle w:val="Hyperlink"/>
              </w:rPr>
              <w:t>5.6.3 Re-Identification Risk Reassessments</w:t>
            </w:r>
            <w:r w:rsidR="006A7045">
              <w:tab/>
            </w:r>
            <w:r w:rsidR="006A7045">
              <w:fldChar w:fldCharType="begin"/>
            </w:r>
            <w:r w:rsidR="006A7045">
              <w:instrText>PAGEREF _Toc851209084 \h</w:instrText>
            </w:r>
            <w:r w:rsidR="006A7045">
              <w:fldChar w:fldCharType="separate"/>
            </w:r>
            <w:r w:rsidRPr="54AD4DA9">
              <w:rPr>
                <w:rStyle w:val="Hyperlink"/>
              </w:rPr>
              <w:t>30</w:t>
            </w:r>
            <w:r w:rsidR="006A7045">
              <w:fldChar w:fldCharType="end"/>
            </w:r>
          </w:hyperlink>
        </w:p>
        <w:p w14:paraId="641D42C9" w14:textId="55EF042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71933177">
            <w:r w:rsidRPr="54AD4DA9">
              <w:rPr>
                <w:rStyle w:val="Hyperlink"/>
              </w:rPr>
              <w:t>5.6.4 Compliance Audits</w:t>
            </w:r>
            <w:r w:rsidR="006A7045">
              <w:tab/>
            </w:r>
            <w:r w:rsidR="006A7045">
              <w:fldChar w:fldCharType="begin"/>
            </w:r>
            <w:r w:rsidR="006A7045">
              <w:instrText>PAGEREF _Toc1271933177 \h</w:instrText>
            </w:r>
            <w:r w:rsidR="006A7045">
              <w:fldChar w:fldCharType="separate"/>
            </w:r>
            <w:r w:rsidRPr="54AD4DA9">
              <w:rPr>
                <w:rStyle w:val="Hyperlink"/>
              </w:rPr>
              <w:t>30</w:t>
            </w:r>
            <w:r w:rsidR="006A7045">
              <w:fldChar w:fldCharType="end"/>
            </w:r>
          </w:hyperlink>
        </w:p>
        <w:p w14:paraId="51980E48" w14:textId="3211A0C9"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968796061">
            <w:r w:rsidRPr="54AD4DA9">
              <w:rPr>
                <w:rStyle w:val="Hyperlink"/>
              </w:rPr>
              <w:t>5.6.5 Participant Feedback Loops</w:t>
            </w:r>
            <w:r w:rsidR="006A7045">
              <w:tab/>
            </w:r>
            <w:r w:rsidR="006A7045">
              <w:fldChar w:fldCharType="begin"/>
            </w:r>
            <w:r w:rsidR="006A7045">
              <w:instrText>PAGEREF _Toc968796061 \h</w:instrText>
            </w:r>
            <w:r w:rsidR="006A7045">
              <w:fldChar w:fldCharType="separate"/>
            </w:r>
            <w:r w:rsidRPr="54AD4DA9">
              <w:rPr>
                <w:rStyle w:val="Hyperlink"/>
              </w:rPr>
              <w:t>31</w:t>
            </w:r>
            <w:r w:rsidR="006A7045">
              <w:fldChar w:fldCharType="end"/>
            </w:r>
          </w:hyperlink>
        </w:p>
        <w:p w14:paraId="5168C442" w14:textId="5AE4C3A8"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303129070">
            <w:r w:rsidRPr="54AD4DA9">
              <w:rPr>
                <w:rStyle w:val="Hyperlink"/>
              </w:rPr>
              <w:t>5.7 Ethics Review Process</w:t>
            </w:r>
            <w:r w:rsidR="006A7045">
              <w:tab/>
            </w:r>
            <w:r w:rsidR="006A7045">
              <w:fldChar w:fldCharType="begin"/>
            </w:r>
            <w:r w:rsidR="006A7045">
              <w:instrText>PAGEREF _Toc303129070 \h</w:instrText>
            </w:r>
            <w:r w:rsidR="006A7045">
              <w:fldChar w:fldCharType="separate"/>
            </w:r>
            <w:r w:rsidRPr="54AD4DA9">
              <w:rPr>
                <w:rStyle w:val="Hyperlink"/>
              </w:rPr>
              <w:t>31</w:t>
            </w:r>
            <w:r w:rsidR="006A7045">
              <w:fldChar w:fldCharType="end"/>
            </w:r>
          </w:hyperlink>
        </w:p>
        <w:p w14:paraId="3B3E0B97" w14:textId="01961945"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035961436">
            <w:r w:rsidRPr="54AD4DA9">
              <w:rPr>
                <w:rStyle w:val="Hyperlink"/>
              </w:rPr>
              <w:t>5.7.1 Why a mandatory ethical assessment?</w:t>
            </w:r>
            <w:r w:rsidR="006A7045">
              <w:tab/>
            </w:r>
            <w:r w:rsidR="006A7045">
              <w:fldChar w:fldCharType="begin"/>
            </w:r>
            <w:r w:rsidR="006A7045">
              <w:instrText>PAGEREF _Toc1035961436 \h</w:instrText>
            </w:r>
            <w:r w:rsidR="006A7045">
              <w:fldChar w:fldCharType="separate"/>
            </w:r>
            <w:r w:rsidRPr="54AD4DA9">
              <w:rPr>
                <w:rStyle w:val="Hyperlink"/>
              </w:rPr>
              <w:t>31</w:t>
            </w:r>
            <w:r w:rsidR="006A7045">
              <w:fldChar w:fldCharType="end"/>
            </w:r>
          </w:hyperlink>
        </w:p>
        <w:p w14:paraId="564F841C" w14:textId="56C672A3"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629831031">
            <w:r w:rsidRPr="54AD4DA9">
              <w:rPr>
                <w:rStyle w:val="Hyperlink"/>
              </w:rPr>
              <w:t>5.7.2 The method: ALTAI</w:t>
            </w:r>
            <w:r w:rsidR="006A7045">
              <w:tab/>
            </w:r>
            <w:r w:rsidR="006A7045">
              <w:fldChar w:fldCharType="begin"/>
            </w:r>
            <w:r w:rsidR="006A7045">
              <w:instrText>PAGEREF _Toc1629831031 \h</w:instrText>
            </w:r>
            <w:r w:rsidR="006A7045">
              <w:fldChar w:fldCharType="separate"/>
            </w:r>
            <w:r w:rsidRPr="54AD4DA9">
              <w:rPr>
                <w:rStyle w:val="Hyperlink"/>
              </w:rPr>
              <w:t>31</w:t>
            </w:r>
            <w:r w:rsidR="006A7045">
              <w:fldChar w:fldCharType="end"/>
            </w:r>
          </w:hyperlink>
        </w:p>
        <w:p w14:paraId="438C015C" w14:textId="2083E521"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844876254">
            <w:r w:rsidRPr="54AD4DA9">
              <w:rPr>
                <w:rStyle w:val="Hyperlink"/>
              </w:rPr>
              <w:t>5.7.3 The ethical principles as an assessment framework</w:t>
            </w:r>
            <w:r w:rsidR="006A7045">
              <w:tab/>
            </w:r>
            <w:r w:rsidR="006A7045">
              <w:fldChar w:fldCharType="begin"/>
            </w:r>
            <w:r w:rsidR="006A7045">
              <w:instrText>PAGEREF _Toc1844876254 \h</w:instrText>
            </w:r>
            <w:r w:rsidR="006A7045">
              <w:fldChar w:fldCharType="separate"/>
            </w:r>
            <w:r w:rsidRPr="54AD4DA9">
              <w:rPr>
                <w:rStyle w:val="Hyperlink"/>
              </w:rPr>
              <w:t>32</w:t>
            </w:r>
            <w:r w:rsidR="006A7045">
              <w:fldChar w:fldCharType="end"/>
            </w:r>
          </w:hyperlink>
        </w:p>
        <w:p w14:paraId="6D1D026E" w14:textId="6CB35D5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642471587">
            <w:r w:rsidRPr="54AD4DA9">
              <w:rPr>
                <w:rStyle w:val="Hyperlink"/>
              </w:rPr>
              <w:t>5.7.4 The procedure</w:t>
            </w:r>
            <w:r w:rsidR="006A7045">
              <w:tab/>
            </w:r>
            <w:r w:rsidR="006A7045">
              <w:fldChar w:fldCharType="begin"/>
            </w:r>
            <w:r w:rsidR="006A7045">
              <w:instrText>PAGEREF _Toc642471587 \h</w:instrText>
            </w:r>
            <w:r w:rsidR="006A7045">
              <w:fldChar w:fldCharType="separate"/>
            </w:r>
            <w:r w:rsidRPr="54AD4DA9">
              <w:rPr>
                <w:rStyle w:val="Hyperlink"/>
              </w:rPr>
              <w:t>32</w:t>
            </w:r>
            <w:r w:rsidR="006A7045">
              <w:fldChar w:fldCharType="end"/>
            </w:r>
          </w:hyperlink>
        </w:p>
        <w:p w14:paraId="0CF33844" w14:textId="73A06BD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54002402">
            <w:r w:rsidRPr="54AD4DA9">
              <w:rPr>
                <w:rStyle w:val="Hyperlink"/>
              </w:rPr>
              <w:t>5.7.5 Citizen Participation</w:t>
            </w:r>
            <w:r w:rsidR="006A7045">
              <w:tab/>
            </w:r>
            <w:r w:rsidR="006A7045">
              <w:fldChar w:fldCharType="begin"/>
            </w:r>
            <w:r w:rsidR="006A7045">
              <w:instrText>PAGEREF _Toc54002402 \h</w:instrText>
            </w:r>
            <w:r w:rsidR="006A7045">
              <w:fldChar w:fldCharType="separate"/>
            </w:r>
            <w:r w:rsidRPr="54AD4DA9">
              <w:rPr>
                <w:rStyle w:val="Hyperlink"/>
              </w:rPr>
              <w:t>33</w:t>
            </w:r>
            <w:r w:rsidR="006A7045">
              <w:fldChar w:fldCharType="end"/>
            </w:r>
          </w:hyperlink>
        </w:p>
        <w:p w14:paraId="69C23762" w14:textId="52EE2C9A"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872634906">
            <w:r w:rsidRPr="54AD4DA9">
              <w:rPr>
                <w:rStyle w:val="Hyperlink"/>
              </w:rPr>
              <w:t>5.8 Incident Response and Enforcement</w:t>
            </w:r>
            <w:r w:rsidR="006A7045">
              <w:tab/>
            </w:r>
            <w:r w:rsidR="006A7045">
              <w:fldChar w:fldCharType="begin"/>
            </w:r>
            <w:r w:rsidR="006A7045">
              <w:instrText>PAGEREF _Toc1872634906 \h</w:instrText>
            </w:r>
            <w:r w:rsidR="006A7045">
              <w:fldChar w:fldCharType="separate"/>
            </w:r>
            <w:r w:rsidRPr="54AD4DA9">
              <w:rPr>
                <w:rStyle w:val="Hyperlink"/>
              </w:rPr>
              <w:t>34</w:t>
            </w:r>
            <w:r w:rsidR="006A7045">
              <w:fldChar w:fldCharType="end"/>
            </w:r>
          </w:hyperlink>
        </w:p>
        <w:p w14:paraId="5AD38AA9" w14:textId="29784454"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1103382842">
            <w:r w:rsidRPr="54AD4DA9">
              <w:rPr>
                <w:rStyle w:val="Hyperlink"/>
              </w:rPr>
              <w:t>6. KPI Framework</w:t>
            </w:r>
            <w:r w:rsidR="006A7045">
              <w:tab/>
            </w:r>
            <w:r w:rsidR="006A7045">
              <w:fldChar w:fldCharType="begin"/>
            </w:r>
            <w:r w:rsidR="006A7045">
              <w:instrText>PAGEREF _Toc1103382842 \h</w:instrText>
            </w:r>
            <w:r w:rsidR="006A7045">
              <w:fldChar w:fldCharType="separate"/>
            </w:r>
            <w:r w:rsidRPr="54AD4DA9">
              <w:rPr>
                <w:rStyle w:val="Hyperlink"/>
              </w:rPr>
              <w:t>35</w:t>
            </w:r>
            <w:r w:rsidR="006A7045">
              <w:fldChar w:fldCharType="end"/>
            </w:r>
          </w:hyperlink>
        </w:p>
        <w:p w14:paraId="007B49FE" w14:textId="7AA0BEF4"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886540324">
            <w:r w:rsidRPr="54AD4DA9">
              <w:rPr>
                <w:rStyle w:val="Hyperlink"/>
              </w:rPr>
              <w:t>6.1 Purpose of the KPI Framework</w:t>
            </w:r>
            <w:r w:rsidR="006A7045">
              <w:tab/>
            </w:r>
            <w:r w:rsidR="006A7045">
              <w:fldChar w:fldCharType="begin"/>
            </w:r>
            <w:r w:rsidR="006A7045">
              <w:instrText>PAGEREF _Toc886540324 \h</w:instrText>
            </w:r>
            <w:r w:rsidR="006A7045">
              <w:fldChar w:fldCharType="separate"/>
            </w:r>
            <w:r w:rsidRPr="54AD4DA9">
              <w:rPr>
                <w:rStyle w:val="Hyperlink"/>
              </w:rPr>
              <w:t>36</w:t>
            </w:r>
            <w:r w:rsidR="006A7045">
              <w:fldChar w:fldCharType="end"/>
            </w:r>
          </w:hyperlink>
        </w:p>
        <w:p w14:paraId="14D24B86" w14:textId="64E103D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416340210">
            <w:r w:rsidRPr="54AD4DA9">
              <w:rPr>
                <w:rStyle w:val="Hyperlink"/>
              </w:rPr>
              <w:t>6.1.1 Compliance and Ethical Use</w:t>
            </w:r>
            <w:r w:rsidR="006A7045">
              <w:tab/>
            </w:r>
            <w:r w:rsidR="006A7045">
              <w:fldChar w:fldCharType="begin"/>
            </w:r>
            <w:r w:rsidR="006A7045">
              <w:instrText>PAGEREF _Toc416340210 \h</w:instrText>
            </w:r>
            <w:r w:rsidR="006A7045">
              <w:fldChar w:fldCharType="separate"/>
            </w:r>
            <w:r w:rsidRPr="54AD4DA9">
              <w:rPr>
                <w:rStyle w:val="Hyperlink"/>
              </w:rPr>
              <w:t>36</w:t>
            </w:r>
            <w:r w:rsidR="006A7045">
              <w:fldChar w:fldCharType="end"/>
            </w:r>
          </w:hyperlink>
        </w:p>
        <w:p w14:paraId="62A81AA3" w14:textId="42801D53"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64014251">
            <w:r w:rsidRPr="54AD4DA9">
              <w:rPr>
                <w:rStyle w:val="Hyperlink"/>
              </w:rPr>
              <w:t>6.1.2 Transparency</w:t>
            </w:r>
            <w:r w:rsidR="006A7045">
              <w:tab/>
            </w:r>
            <w:r w:rsidR="006A7045">
              <w:fldChar w:fldCharType="begin"/>
            </w:r>
            <w:r w:rsidR="006A7045">
              <w:instrText>PAGEREF _Toc1964014251 \h</w:instrText>
            </w:r>
            <w:r w:rsidR="006A7045">
              <w:fldChar w:fldCharType="separate"/>
            </w:r>
            <w:r w:rsidRPr="54AD4DA9">
              <w:rPr>
                <w:rStyle w:val="Hyperlink"/>
              </w:rPr>
              <w:t>37</w:t>
            </w:r>
            <w:r w:rsidR="006A7045">
              <w:fldChar w:fldCharType="end"/>
            </w:r>
          </w:hyperlink>
        </w:p>
        <w:p w14:paraId="6612C514" w14:textId="447C417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775698340">
            <w:r w:rsidRPr="54AD4DA9">
              <w:rPr>
                <w:rStyle w:val="Hyperlink"/>
              </w:rPr>
              <w:t>6.1.3 Accountability</w:t>
            </w:r>
            <w:r w:rsidR="006A7045">
              <w:tab/>
            </w:r>
            <w:r w:rsidR="006A7045">
              <w:fldChar w:fldCharType="begin"/>
            </w:r>
            <w:r w:rsidR="006A7045">
              <w:instrText>PAGEREF _Toc1775698340 \h</w:instrText>
            </w:r>
            <w:r w:rsidR="006A7045">
              <w:fldChar w:fldCharType="separate"/>
            </w:r>
            <w:r w:rsidRPr="54AD4DA9">
              <w:rPr>
                <w:rStyle w:val="Hyperlink"/>
              </w:rPr>
              <w:t>37</w:t>
            </w:r>
            <w:r w:rsidR="006A7045">
              <w:fldChar w:fldCharType="end"/>
            </w:r>
          </w:hyperlink>
        </w:p>
        <w:p w14:paraId="791F7AF6" w14:textId="00F3B44B"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61574159">
            <w:r w:rsidRPr="54AD4DA9">
              <w:rPr>
                <w:rStyle w:val="Hyperlink"/>
              </w:rPr>
              <w:t>6.1.4 Adoption of the Governance Framework</w:t>
            </w:r>
            <w:r w:rsidR="006A7045">
              <w:tab/>
            </w:r>
            <w:r w:rsidR="006A7045">
              <w:fldChar w:fldCharType="begin"/>
            </w:r>
            <w:r w:rsidR="006A7045">
              <w:instrText>PAGEREF _Toc1261574159 \h</w:instrText>
            </w:r>
            <w:r w:rsidR="006A7045">
              <w:fldChar w:fldCharType="separate"/>
            </w:r>
            <w:r w:rsidRPr="54AD4DA9">
              <w:rPr>
                <w:rStyle w:val="Hyperlink"/>
              </w:rPr>
              <w:t>37</w:t>
            </w:r>
            <w:r w:rsidR="006A7045">
              <w:fldChar w:fldCharType="end"/>
            </w:r>
          </w:hyperlink>
        </w:p>
        <w:p w14:paraId="47BD2262" w14:textId="430FAF41"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836235190">
            <w:r w:rsidRPr="54AD4DA9">
              <w:rPr>
                <w:rStyle w:val="Hyperlink"/>
              </w:rPr>
              <w:t>6.1.5 Data Quality and Reliability</w:t>
            </w:r>
            <w:r w:rsidR="006A7045">
              <w:tab/>
            </w:r>
            <w:r w:rsidR="006A7045">
              <w:fldChar w:fldCharType="begin"/>
            </w:r>
            <w:r w:rsidR="006A7045">
              <w:instrText>PAGEREF _Toc1836235190 \h</w:instrText>
            </w:r>
            <w:r w:rsidR="006A7045">
              <w:fldChar w:fldCharType="separate"/>
            </w:r>
            <w:r w:rsidRPr="54AD4DA9">
              <w:rPr>
                <w:rStyle w:val="Hyperlink"/>
              </w:rPr>
              <w:t>38</w:t>
            </w:r>
            <w:r w:rsidR="006A7045">
              <w:fldChar w:fldCharType="end"/>
            </w:r>
          </w:hyperlink>
        </w:p>
        <w:p w14:paraId="3DDCDC8C" w14:textId="5D3872E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2096874033">
            <w:r w:rsidRPr="54AD4DA9">
              <w:rPr>
                <w:rStyle w:val="Hyperlink"/>
              </w:rPr>
              <w:t>6.1.6 Risk Management</w:t>
            </w:r>
            <w:r w:rsidR="006A7045">
              <w:tab/>
            </w:r>
            <w:r w:rsidR="006A7045">
              <w:fldChar w:fldCharType="begin"/>
            </w:r>
            <w:r w:rsidR="006A7045">
              <w:instrText>PAGEREF _Toc2096874033 \h</w:instrText>
            </w:r>
            <w:r w:rsidR="006A7045">
              <w:fldChar w:fldCharType="separate"/>
            </w:r>
            <w:r w:rsidRPr="54AD4DA9">
              <w:rPr>
                <w:rStyle w:val="Hyperlink"/>
              </w:rPr>
              <w:t>38</w:t>
            </w:r>
            <w:r w:rsidR="006A7045">
              <w:fldChar w:fldCharType="end"/>
            </w:r>
          </w:hyperlink>
        </w:p>
        <w:p w14:paraId="5D05C39F" w14:textId="5011BB09"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025527629">
            <w:r w:rsidRPr="54AD4DA9">
              <w:rPr>
                <w:rStyle w:val="Hyperlink"/>
              </w:rPr>
              <w:t>6.1.7 Scalability and Reusability</w:t>
            </w:r>
            <w:r w:rsidR="006A7045">
              <w:tab/>
            </w:r>
            <w:r w:rsidR="006A7045">
              <w:fldChar w:fldCharType="begin"/>
            </w:r>
            <w:r w:rsidR="006A7045">
              <w:instrText>PAGEREF _Toc1025527629 \h</w:instrText>
            </w:r>
            <w:r w:rsidR="006A7045">
              <w:fldChar w:fldCharType="separate"/>
            </w:r>
            <w:r w:rsidRPr="54AD4DA9">
              <w:rPr>
                <w:rStyle w:val="Hyperlink"/>
              </w:rPr>
              <w:t>38</w:t>
            </w:r>
            <w:r w:rsidR="006A7045">
              <w:fldChar w:fldCharType="end"/>
            </w:r>
          </w:hyperlink>
        </w:p>
        <w:p w14:paraId="412E7FA8" w14:textId="471794B5"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785896497">
            <w:r w:rsidRPr="54AD4DA9">
              <w:rPr>
                <w:rStyle w:val="Hyperlink"/>
              </w:rPr>
              <w:t>6.2 KPI Overview by Governance Dimension</w:t>
            </w:r>
            <w:r w:rsidR="006A7045">
              <w:tab/>
            </w:r>
            <w:r w:rsidR="006A7045">
              <w:fldChar w:fldCharType="begin"/>
            </w:r>
            <w:r w:rsidR="006A7045">
              <w:instrText>PAGEREF _Toc1785896497 \h</w:instrText>
            </w:r>
            <w:r w:rsidR="006A7045">
              <w:fldChar w:fldCharType="separate"/>
            </w:r>
            <w:r w:rsidRPr="54AD4DA9">
              <w:rPr>
                <w:rStyle w:val="Hyperlink"/>
              </w:rPr>
              <w:t>39</w:t>
            </w:r>
            <w:r w:rsidR="006A7045">
              <w:fldChar w:fldCharType="end"/>
            </w:r>
          </w:hyperlink>
        </w:p>
        <w:p w14:paraId="2FE42227" w14:textId="52BDCD79"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1535513947">
            <w:r w:rsidRPr="54AD4DA9">
              <w:rPr>
                <w:rStyle w:val="Hyperlink"/>
              </w:rPr>
              <w:t>6.3 Recommended Review Cycle</w:t>
            </w:r>
            <w:r w:rsidR="006A7045">
              <w:tab/>
            </w:r>
            <w:r w:rsidR="006A7045">
              <w:fldChar w:fldCharType="begin"/>
            </w:r>
            <w:r w:rsidR="006A7045">
              <w:instrText>PAGEREF _Toc1535513947 \h</w:instrText>
            </w:r>
            <w:r w:rsidR="006A7045">
              <w:fldChar w:fldCharType="separate"/>
            </w:r>
            <w:r w:rsidRPr="54AD4DA9">
              <w:rPr>
                <w:rStyle w:val="Hyperlink"/>
              </w:rPr>
              <w:t>41</w:t>
            </w:r>
            <w:r w:rsidR="006A7045">
              <w:fldChar w:fldCharType="end"/>
            </w:r>
          </w:hyperlink>
        </w:p>
        <w:p w14:paraId="5DFF0F01" w14:textId="257D85C2"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765766622">
            <w:r w:rsidRPr="54AD4DA9">
              <w:rPr>
                <w:rStyle w:val="Hyperlink"/>
              </w:rPr>
              <w:t>6.3.1 Annual Full Review</w:t>
            </w:r>
            <w:r w:rsidR="006A7045">
              <w:tab/>
            </w:r>
            <w:r w:rsidR="006A7045">
              <w:fldChar w:fldCharType="begin"/>
            </w:r>
            <w:r w:rsidR="006A7045">
              <w:instrText>PAGEREF _Toc765766622 \h</w:instrText>
            </w:r>
            <w:r w:rsidR="006A7045">
              <w:fldChar w:fldCharType="separate"/>
            </w:r>
            <w:r w:rsidRPr="54AD4DA9">
              <w:rPr>
                <w:rStyle w:val="Hyperlink"/>
              </w:rPr>
              <w:t>41</w:t>
            </w:r>
            <w:r w:rsidR="006A7045">
              <w:fldChar w:fldCharType="end"/>
            </w:r>
          </w:hyperlink>
        </w:p>
        <w:p w14:paraId="1CEF753A" w14:textId="6C0B3D8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50733103">
            <w:r w:rsidRPr="54AD4DA9">
              <w:rPr>
                <w:rStyle w:val="Hyperlink"/>
              </w:rPr>
              <w:t>6.3.2 Quarterly Compliance Check</w:t>
            </w:r>
            <w:r w:rsidR="006A7045">
              <w:tab/>
            </w:r>
            <w:r w:rsidR="006A7045">
              <w:fldChar w:fldCharType="begin"/>
            </w:r>
            <w:r w:rsidR="006A7045">
              <w:instrText>PAGEREF _Toc1350733103 \h</w:instrText>
            </w:r>
            <w:r w:rsidR="006A7045">
              <w:fldChar w:fldCharType="separate"/>
            </w:r>
            <w:r w:rsidRPr="54AD4DA9">
              <w:rPr>
                <w:rStyle w:val="Hyperlink"/>
              </w:rPr>
              <w:t>41</w:t>
            </w:r>
            <w:r w:rsidR="006A7045">
              <w:fldChar w:fldCharType="end"/>
            </w:r>
          </w:hyperlink>
        </w:p>
        <w:p w14:paraId="29710013" w14:textId="6D1D346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95598558">
            <w:r w:rsidRPr="54AD4DA9">
              <w:rPr>
                <w:rStyle w:val="Hyperlink"/>
              </w:rPr>
              <w:t>6.3.3 Acting on Review Outcomes</w:t>
            </w:r>
            <w:r w:rsidR="006A7045">
              <w:tab/>
            </w:r>
            <w:r w:rsidR="006A7045">
              <w:fldChar w:fldCharType="begin"/>
            </w:r>
            <w:r w:rsidR="006A7045">
              <w:instrText>PAGEREF _Toc1395598558 \h</w:instrText>
            </w:r>
            <w:r w:rsidR="006A7045">
              <w:fldChar w:fldCharType="separate"/>
            </w:r>
            <w:r w:rsidRPr="54AD4DA9">
              <w:rPr>
                <w:rStyle w:val="Hyperlink"/>
              </w:rPr>
              <w:t>41</w:t>
            </w:r>
            <w:r w:rsidR="006A7045">
              <w:fldChar w:fldCharType="end"/>
            </w:r>
          </w:hyperlink>
        </w:p>
        <w:p w14:paraId="6F1C8FBF" w14:textId="7BA8A366"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836136704">
            <w:r w:rsidRPr="54AD4DA9">
              <w:rPr>
                <w:rStyle w:val="Hyperlink"/>
              </w:rPr>
              <w:t>7. Business Cases</w:t>
            </w:r>
            <w:r w:rsidR="006A7045">
              <w:tab/>
            </w:r>
            <w:r w:rsidR="006A7045">
              <w:fldChar w:fldCharType="begin"/>
            </w:r>
            <w:r w:rsidR="006A7045">
              <w:instrText>PAGEREF _Toc836136704 \h</w:instrText>
            </w:r>
            <w:r w:rsidR="006A7045">
              <w:fldChar w:fldCharType="separate"/>
            </w:r>
            <w:r w:rsidRPr="54AD4DA9">
              <w:rPr>
                <w:rStyle w:val="Hyperlink"/>
              </w:rPr>
              <w:t>41</w:t>
            </w:r>
            <w:r w:rsidR="006A7045">
              <w:fldChar w:fldCharType="end"/>
            </w:r>
          </w:hyperlink>
        </w:p>
        <w:p w14:paraId="35C39117" w14:textId="59888920"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2141782052">
            <w:r w:rsidRPr="54AD4DA9">
              <w:rPr>
                <w:rStyle w:val="Hyperlink"/>
              </w:rPr>
              <w:t>7.1 Case 1: Managing the Municipality's Dual Role</w:t>
            </w:r>
            <w:r w:rsidR="006A7045">
              <w:tab/>
            </w:r>
            <w:r w:rsidR="006A7045">
              <w:fldChar w:fldCharType="begin"/>
            </w:r>
            <w:r w:rsidR="006A7045">
              <w:instrText>PAGEREF _Toc2141782052 \h</w:instrText>
            </w:r>
            <w:r w:rsidR="006A7045">
              <w:fldChar w:fldCharType="separate"/>
            </w:r>
            <w:r w:rsidRPr="54AD4DA9">
              <w:rPr>
                <w:rStyle w:val="Hyperlink"/>
              </w:rPr>
              <w:t>42</w:t>
            </w:r>
            <w:r w:rsidR="006A7045">
              <w:fldChar w:fldCharType="end"/>
            </w:r>
          </w:hyperlink>
        </w:p>
        <w:p w14:paraId="2AA1FF31" w14:textId="62B4A40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002708208">
            <w:r w:rsidRPr="54AD4DA9">
              <w:rPr>
                <w:rStyle w:val="Hyperlink"/>
              </w:rPr>
              <w:t>7.1.1 Introduction</w:t>
            </w:r>
            <w:r w:rsidR="006A7045">
              <w:tab/>
            </w:r>
            <w:r w:rsidR="006A7045">
              <w:fldChar w:fldCharType="begin"/>
            </w:r>
            <w:r w:rsidR="006A7045">
              <w:instrText>PAGEREF _Toc1002708208 \h</w:instrText>
            </w:r>
            <w:r w:rsidR="006A7045">
              <w:fldChar w:fldCharType="separate"/>
            </w:r>
            <w:r w:rsidRPr="54AD4DA9">
              <w:rPr>
                <w:rStyle w:val="Hyperlink"/>
              </w:rPr>
              <w:t>42</w:t>
            </w:r>
            <w:r w:rsidR="006A7045">
              <w:fldChar w:fldCharType="end"/>
            </w:r>
          </w:hyperlink>
        </w:p>
        <w:p w14:paraId="23C7BA7E" w14:textId="5B03683D"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175123393">
            <w:r w:rsidRPr="54AD4DA9">
              <w:rPr>
                <w:rStyle w:val="Hyperlink"/>
              </w:rPr>
              <w:t>7.1.2 The Challenge: A Structural Conflict of Interest</w:t>
            </w:r>
            <w:r w:rsidR="006A7045">
              <w:tab/>
            </w:r>
            <w:r w:rsidR="006A7045">
              <w:fldChar w:fldCharType="begin"/>
            </w:r>
            <w:r w:rsidR="006A7045">
              <w:instrText>PAGEREF _Toc1175123393 \h</w:instrText>
            </w:r>
            <w:r w:rsidR="006A7045">
              <w:fldChar w:fldCharType="separate"/>
            </w:r>
            <w:r w:rsidRPr="54AD4DA9">
              <w:rPr>
                <w:rStyle w:val="Hyperlink"/>
              </w:rPr>
              <w:t>42</w:t>
            </w:r>
            <w:r w:rsidR="006A7045">
              <w:fldChar w:fldCharType="end"/>
            </w:r>
          </w:hyperlink>
        </w:p>
        <w:p w14:paraId="404A3663" w14:textId="570B9D53"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889570320">
            <w:r w:rsidRPr="54AD4DA9">
              <w:rPr>
                <w:rStyle w:val="Hyperlink"/>
              </w:rPr>
              <w:t>7.1.3 How the Framework Resolves the Conflict</w:t>
            </w:r>
            <w:r w:rsidR="006A7045">
              <w:tab/>
            </w:r>
            <w:r w:rsidR="006A7045">
              <w:fldChar w:fldCharType="begin"/>
            </w:r>
            <w:r w:rsidR="006A7045">
              <w:instrText>PAGEREF _Toc889570320 \h</w:instrText>
            </w:r>
            <w:r w:rsidR="006A7045">
              <w:fldChar w:fldCharType="separate"/>
            </w:r>
            <w:r w:rsidRPr="54AD4DA9">
              <w:rPr>
                <w:rStyle w:val="Hyperlink"/>
              </w:rPr>
              <w:t>43</w:t>
            </w:r>
            <w:r w:rsidR="006A7045">
              <w:fldChar w:fldCharType="end"/>
            </w:r>
          </w:hyperlink>
        </w:p>
        <w:p w14:paraId="7A1539CB" w14:textId="352F77F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642625692">
            <w:r w:rsidRPr="54AD4DA9">
              <w:rPr>
                <w:rStyle w:val="Hyperlink"/>
              </w:rPr>
              <w:t>7.1.4 What Governance Looks Like in Practice</w:t>
            </w:r>
            <w:r w:rsidR="006A7045">
              <w:tab/>
            </w:r>
            <w:r w:rsidR="006A7045">
              <w:fldChar w:fldCharType="begin"/>
            </w:r>
            <w:r w:rsidR="006A7045">
              <w:instrText>PAGEREF _Toc642625692 \h</w:instrText>
            </w:r>
            <w:r w:rsidR="006A7045">
              <w:fldChar w:fldCharType="separate"/>
            </w:r>
            <w:r w:rsidRPr="54AD4DA9">
              <w:rPr>
                <w:rStyle w:val="Hyperlink"/>
              </w:rPr>
              <w:t>44</w:t>
            </w:r>
            <w:r w:rsidR="006A7045">
              <w:fldChar w:fldCharType="end"/>
            </w:r>
          </w:hyperlink>
        </w:p>
        <w:p w14:paraId="1B572C0A" w14:textId="6BEB0470"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720485564">
            <w:r w:rsidRPr="54AD4DA9">
              <w:rPr>
                <w:rStyle w:val="Hyperlink"/>
              </w:rPr>
              <w:t>7.1.5 What Governance Looks Like in Practice</w:t>
            </w:r>
            <w:r w:rsidR="006A7045">
              <w:tab/>
            </w:r>
            <w:r w:rsidR="006A7045">
              <w:fldChar w:fldCharType="begin"/>
            </w:r>
            <w:r w:rsidR="006A7045">
              <w:instrText>PAGEREF _Toc1720485564 \h</w:instrText>
            </w:r>
            <w:r w:rsidR="006A7045">
              <w:fldChar w:fldCharType="separate"/>
            </w:r>
            <w:r w:rsidRPr="54AD4DA9">
              <w:rPr>
                <w:rStyle w:val="Hyperlink"/>
              </w:rPr>
              <w:t>45</w:t>
            </w:r>
            <w:r w:rsidR="006A7045">
              <w:fldChar w:fldCharType="end"/>
            </w:r>
          </w:hyperlink>
        </w:p>
        <w:p w14:paraId="7A4148E1" w14:textId="6F308786"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107449750">
            <w:r w:rsidRPr="54AD4DA9">
              <w:rPr>
                <w:rStyle w:val="Hyperlink"/>
              </w:rPr>
              <w:t>7.1.6 Alternatives Considered</w:t>
            </w:r>
            <w:r w:rsidR="006A7045">
              <w:tab/>
            </w:r>
            <w:r w:rsidR="006A7045">
              <w:fldChar w:fldCharType="begin"/>
            </w:r>
            <w:r w:rsidR="006A7045">
              <w:instrText>PAGEREF _Toc1107449750 \h</w:instrText>
            </w:r>
            <w:r w:rsidR="006A7045">
              <w:fldChar w:fldCharType="separate"/>
            </w:r>
            <w:r w:rsidRPr="54AD4DA9">
              <w:rPr>
                <w:rStyle w:val="Hyperlink"/>
              </w:rPr>
              <w:t>46</w:t>
            </w:r>
            <w:r w:rsidR="006A7045">
              <w:fldChar w:fldCharType="end"/>
            </w:r>
          </w:hyperlink>
        </w:p>
        <w:p w14:paraId="3595EA5B" w14:textId="1208D6F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865222046">
            <w:r w:rsidRPr="54AD4DA9">
              <w:rPr>
                <w:rStyle w:val="Hyperlink"/>
              </w:rPr>
              <w:t>7.1.7 Feasibility Considerations</w:t>
            </w:r>
            <w:r w:rsidR="006A7045">
              <w:tab/>
            </w:r>
            <w:r w:rsidR="006A7045">
              <w:fldChar w:fldCharType="begin"/>
            </w:r>
            <w:r w:rsidR="006A7045">
              <w:instrText>PAGEREF _Toc1865222046 \h</w:instrText>
            </w:r>
            <w:r w:rsidR="006A7045">
              <w:fldChar w:fldCharType="separate"/>
            </w:r>
            <w:r w:rsidRPr="54AD4DA9">
              <w:rPr>
                <w:rStyle w:val="Hyperlink"/>
              </w:rPr>
              <w:t>47</w:t>
            </w:r>
            <w:r w:rsidR="006A7045">
              <w:fldChar w:fldCharType="end"/>
            </w:r>
          </w:hyperlink>
        </w:p>
        <w:p w14:paraId="534C8065" w14:textId="594C174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468588649">
            <w:r w:rsidRPr="54AD4DA9">
              <w:rPr>
                <w:rStyle w:val="Hyperlink"/>
              </w:rPr>
              <w:t>7.1.8 Documentation Produced</w:t>
            </w:r>
            <w:r w:rsidR="006A7045">
              <w:tab/>
            </w:r>
            <w:r w:rsidR="006A7045">
              <w:fldChar w:fldCharType="begin"/>
            </w:r>
            <w:r w:rsidR="006A7045">
              <w:instrText>PAGEREF _Toc1468588649 \h</w:instrText>
            </w:r>
            <w:r w:rsidR="006A7045">
              <w:fldChar w:fldCharType="separate"/>
            </w:r>
            <w:r w:rsidRPr="54AD4DA9">
              <w:rPr>
                <w:rStyle w:val="Hyperlink"/>
              </w:rPr>
              <w:t>48</w:t>
            </w:r>
            <w:r w:rsidR="006A7045">
              <w:fldChar w:fldCharType="end"/>
            </w:r>
          </w:hyperlink>
        </w:p>
        <w:p w14:paraId="38E68CA4" w14:textId="3114FD79"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267052404">
            <w:r w:rsidRPr="54AD4DA9">
              <w:rPr>
                <w:rStyle w:val="Hyperlink"/>
              </w:rPr>
              <w:t>7.1.9 Why This Matters beyond Eindhoven</w:t>
            </w:r>
            <w:r w:rsidR="006A7045">
              <w:tab/>
            </w:r>
            <w:r w:rsidR="006A7045">
              <w:fldChar w:fldCharType="begin"/>
            </w:r>
            <w:r w:rsidR="006A7045">
              <w:instrText>PAGEREF _Toc267052404 \h</w:instrText>
            </w:r>
            <w:r w:rsidR="006A7045">
              <w:fldChar w:fldCharType="separate"/>
            </w:r>
            <w:r w:rsidRPr="54AD4DA9">
              <w:rPr>
                <w:rStyle w:val="Hyperlink"/>
              </w:rPr>
              <w:t>48</w:t>
            </w:r>
            <w:r w:rsidR="006A7045">
              <w:fldChar w:fldCharType="end"/>
            </w:r>
          </w:hyperlink>
        </w:p>
        <w:p w14:paraId="7FAE4345" w14:textId="5EE8E93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556222604">
            <w:r w:rsidRPr="54AD4DA9">
              <w:rPr>
                <w:rStyle w:val="Hyperlink"/>
              </w:rPr>
              <w:t>7.1.10 Conclusion</w:t>
            </w:r>
            <w:r w:rsidR="006A7045">
              <w:tab/>
            </w:r>
            <w:r w:rsidR="006A7045">
              <w:fldChar w:fldCharType="begin"/>
            </w:r>
            <w:r w:rsidR="006A7045">
              <w:instrText>PAGEREF _Toc556222604 \h</w:instrText>
            </w:r>
            <w:r w:rsidR="006A7045">
              <w:fldChar w:fldCharType="separate"/>
            </w:r>
            <w:r w:rsidRPr="54AD4DA9">
              <w:rPr>
                <w:rStyle w:val="Hyperlink"/>
              </w:rPr>
              <w:t>48</w:t>
            </w:r>
            <w:r w:rsidR="006A7045">
              <w:fldChar w:fldCharType="end"/>
            </w:r>
          </w:hyperlink>
        </w:p>
        <w:p w14:paraId="5B57AA25" w14:textId="40967817"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794560925">
            <w:r w:rsidRPr="54AD4DA9">
              <w:rPr>
                <w:rStyle w:val="Hyperlink"/>
              </w:rPr>
              <w:t>7.2 Case 2: Mission Creep</w:t>
            </w:r>
            <w:r w:rsidR="006A7045">
              <w:tab/>
            </w:r>
            <w:r w:rsidR="006A7045">
              <w:fldChar w:fldCharType="begin"/>
            </w:r>
            <w:r w:rsidR="006A7045">
              <w:instrText>PAGEREF _Toc794560925 \h</w:instrText>
            </w:r>
            <w:r w:rsidR="006A7045">
              <w:fldChar w:fldCharType="separate"/>
            </w:r>
            <w:r w:rsidRPr="54AD4DA9">
              <w:rPr>
                <w:rStyle w:val="Hyperlink"/>
              </w:rPr>
              <w:t>49</w:t>
            </w:r>
            <w:r w:rsidR="006A7045">
              <w:fldChar w:fldCharType="end"/>
            </w:r>
          </w:hyperlink>
        </w:p>
        <w:p w14:paraId="4D2745DA" w14:textId="3317AF13"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727020745">
            <w:r w:rsidRPr="54AD4DA9">
              <w:rPr>
                <w:rStyle w:val="Hyperlink"/>
              </w:rPr>
              <w:t>7.2.1 Introduction</w:t>
            </w:r>
            <w:r w:rsidR="006A7045">
              <w:tab/>
            </w:r>
            <w:r w:rsidR="006A7045">
              <w:fldChar w:fldCharType="begin"/>
            </w:r>
            <w:r w:rsidR="006A7045">
              <w:instrText>PAGEREF _Toc1727020745 \h</w:instrText>
            </w:r>
            <w:r w:rsidR="006A7045">
              <w:fldChar w:fldCharType="separate"/>
            </w:r>
            <w:r w:rsidRPr="54AD4DA9">
              <w:rPr>
                <w:rStyle w:val="Hyperlink"/>
              </w:rPr>
              <w:t>49</w:t>
            </w:r>
            <w:r w:rsidR="006A7045">
              <w:fldChar w:fldCharType="end"/>
            </w:r>
          </w:hyperlink>
        </w:p>
        <w:p w14:paraId="76AF920F" w14:textId="0713089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900113546">
            <w:r w:rsidRPr="54AD4DA9">
              <w:rPr>
                <w:rStyle w:val="Hyperlink"/>
              </w:rPr>
              <w:t>7.2.2 The challenge: expanding usage without formal approval</w:t>
            </w:r>
            <w:r w:rsidR="006A7045">
              <w:tab/>
            </w:r>
            <w:r w:rsidR="006A7045">
              <w:fldChar w:fldCharType="begin"/>
            </w:r>
            <w:r w:rsidR="006A7045">
              <w:instrText>PAGEREF _Toc900113546 \h</w:instrText>
            </w:r>
            <w:r w:rsidR="006A7045">
              <w:fldChar w:fldCharType="separate"/>
            </w:r>
            <w:r w:rsidRPr="54AD4DA9">
              <w:rPr>
                <w:rStyle w:val="Hyperlink"/>
              </w:rPr>
              <w:t>49</w:t>
            </w:r>
            <w:r w:rsidR="006A7045">
              <w:fldChar w:fldCharType="end"/>
            </w:r>
          </w:hyperlink>
        </w:p>
        <w:p w14:paraId="48834FCC" w14:textId="58824144"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63662931">
            <w:r w:rsidRPr="54AD4DA9">
              <w:rPr>
                <w:rStyle w:val="Hyperlink"/>
              </w:rPr>
              <w:t>7.2.3 How the framework addresses this</w:t>
            </w:r>
            <w:r w:rsidR="006A7045">
              <w:tab/>
            </w:r>
            <w:r w:rsidR="006A7045">
              <w:fldChar w:fldCharType="begin"/>
            </w:r>
            <w:r w:rsidR="006A7045">
              <w:instrText>PAGEREF _Toc1563662931 \h</w:instrText>
            </w:r>
            <w:r w:rsidR="006A7045">
              <w:fldChar w:fldCharType="separate"/>
            </w:r>
            <w:r w:rsidRPr="54AD4DA9">
              <w:rPr>
                <w:rStyle w:val="Hyperlink"/>
              </w:rPr>
              <w:t>50</w:t>
            </w:r>
            <w:r w:rsidR="006A7045">
              <w:fldChar w:fldCharType="end"/>
            </w:r>
          </w:hyperlink>
        </w:p>
        <w:p w14:paraId="709912CF" w14:textId="3163FB72"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64665192">
            <w:r w:rsidRPr="54AD4DA9">
              <w:rPr>
                <w:rStyle w:val="Hyperlink"/>
              </w:rPr>
              <w:t>7.2.4 What governance looks like in practice</w:t>
            </w:r>
            <w:r w:rsidR="006A7045">
              <w:tab/>
            </w:r>
            <w:r w:rsidR="006A7045">
              <w:fldChar w:fldCharType="begin"/>
            </w:r>
            <w:r w:rsidR="006A7045">
              <w:instrText>PAGEREF _Toc1264665192 \h</w:instrText>
            </w:r>
            <w:r w:rsidR="006A7045">
              <w:fldChar w:fldCharType="separate"/>
            </w:r>
            <w:r w:rsidRPr="54AD4DA9">
              <w:rPr>
                <w:rStyle w:val="Hyperlink"/>
              </w:rPr>
              <w:t>50</w:t>
            </w:r>
            <w:r w:rsidR="006A7045">
              <w:fldChar w:fldCharType="end"/>
            </w:r>
          </w:hyperlink>
        </w:p>
        <w:p w14:paraId="3B7376E7" w14:textId="13818F6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728733135">
            <w:r w:rsidRPr="54AD4DA9">
              <w:rPr>
                <w:rStyle w:val="Hyperlink"/>
              </w:rPr>
              <w:t>7.2.5 What this case shows about the framework</w:t>
            </w:r>
            <w:r w:rsidR="006A7045">
              <w:tab/>
            </w:r>
            <w:r w:rsidR="006A7045">
              <w:fldChar w:fldCharType="begin"/>
            </w:r>
            <w:r w:rsidR="006A7045">
              <w:instrText>PAGEREF _Toc728733135 \h</w:instrText>
            </w:r>
            <w:r w:rsidR="006A7045">
              <w:fldChar w:fldCharType="separate"/>
            </w:r>
            <w:r w:rsidRPr="54AD4DA9">
              <w:rPr>
                <w:rStyle w:val="Hyperlink"/>
              </w:rPr>
              <w:t>51</w:t>
            </w:r>
            <w:r w:rsidR="006A7045">
              <w:fldChar w:fldCharType="end"/>
            </w:r>
          </w:hyperlink>
        </w:p>
        <w:p w14:paraId="57A53E61" w14:textId="36C95EFC" w:rsidR="006A7045" w:rsidRDefault="54AD4DA9" w:rsidP="54AD4DA9">
          <w:pPr>
            <w:pStyle w:val="TOC1"/>
            <w:tabs>
              <w:tab w:val="right" w:leader="dot" w:pos="9015"/>
            </w:tabs>
            <w:rPr>
              <w:rFonts w:asciiTheme="minorHAnsi" w:eastAsiaTheme="minorEastAsia" w:hAnsiTheme="minorHAnsi" w:cstheme="minorBidi"/>
              <w:noProof/>
              <w:lang w:val="nl-NL" w:eastAsia="nl-NL"/>
            </w:rPr>
          </w:pPr>
          <w:hyperlink w:anchor="_Toc1424638485">
            <w:r w:rsidRPr="54AD4DA9">
              <w:rPr>
                <w:rStyle w:val="Hyperlink"/>
              </w:rPr>
              <w:t>8. Strategic Roadmap</w:t>
            </w:r>
            <w:r w:rsidR="006A7045">
              <w:tab/>
            </w:r>
            <w:r w:rsidR="006A7045">
              <w:fldChar w:fldCharType="begin"/>
            </w:r>
            <w:r w:rsidR="006A7045">
              <w:instrText>PAGEREF _Toc1424638485 \h</w:instrText>
            </w:r>
            <w:r w:rsidR="006A7045">
              <w:fldChar w:fldCharType="separate"/>
            </w:r>
            <w:r w:rsidRPr="54AD4DA9">
              <w:rPr>
                <w:rStyle w:val="Hyperlink"/>
              </w:rPr>
              <w:t>51</w:t>
            </w:r>
            <w:r w:rsidR="006A7045">
              <w:fldChar w:fldCharType="end"/>
            </w:r>
          </w:hyperlink>
        </w:p>
        <w:p w14:paraId="7956ED7F" w14:textId="72CDC3E7"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467658325">
            <w:r w:rsidRPr="54AD4DA9">
              <w:rPr>
                <w:rStyle w:val="Hyperlink"/>
              </w:rPr>
              <w:t>8.1 Phase 1: Immediate Actions (0 to 3 months)</w:t>
            </w:r>
            <w:r w:rsidR="006A7045">
              <w:tab/>
            </w:r>
            <w:r w:rsidR="006A7045">
              <w:fldChar w:fldCharType="begin"/>
            </w:r>
            <w:r w:rsidR="006A7045">
              <w:instrText>PAGEREF _Toc467658325 \h</w:instrText>
            </w:r>
            <w:r w:rsidR="006A7045">
              <w:fldChar w:fldCharType="separate"/>
            </w:r>
            <w:r w:rsidRPr="54AD4DA9">
              <w:rPr>
                <w:rStyle w:val="Hyperlink"/>
              </w:rPr>
              <w:t>52</w:t>
            </w:r>
            <w:r w:rsidR="006A7045">
              <w:fldChar w:fldCharType="end"/>
            </w:r>
          </w:hyperlink>
        </w:p>
        <w:p w14:paraId="16E20E4F" w14:textId="3E4BBEC2"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820730522">
            <w:r w:rsidRPr="54AD4DA9">
              <w:rPr>
                <w:rStyle w:val="Hyperlink"/>
              </w:rPr>
              <w:t>8.1.1 Designating the Governance Authority</w:t>
            </w:r>
            <w:r w:rsidR="006A7045">
              <w:tab/>
            </w:r>
            <w:r w:rsidR="006A7045">
              <w:fldChar w:fldCharType="begin"/>
            </w:r>
            <w:r w:rsidR="006A7045">
              <w:instrText>PAGEREF _Toc1820730522 \h</w:instrText>
            </w:r>
            <w:r w:rsidR="006A7045">
              <w:fldChar w:fldCharType="separate"/>
            </w:r>
            <w:r w:rsidRPr="54AD4DA9">
              <w:rPr>
                <w:rStyle w:val="Hyperlink"/>
              </w:rPr>
              <w:t>52</w:t>
            </w:r>
            <w:r w:rsidR="006A7045">
              <w:fldChar w:fldCharType="end"/>
            </w:r>
          </w:hyperlink>
        </w:p>
        <w:p w14:paraId="794BB933" w14:textId="2A4F665A"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58212359">
            <w:r w:rsidRPr="54AD4DA9">
              <w:rPr>
                <w:rStyle w:val="Hyperlink"/>
              </w:rPr>
              <w:t>8.1.2 Appointing the Coordinating Entity</w:t>
            </w:r>
            <w:r w:rsidR="006A7045">
              <w:tab/>
            </w:r>
            <w:r w:rsidR="006A7045">
              <w:fldChar w:fldCharType="begin"/>
            </w:r>
            <w:r w:rsidR="006A7045">
              <w:instrText>PAGEREF _Toc1358212359 \h</w:instrText>
            </w:r>
            <w:r w:rsidR="006A7045">
              <w:fldChar w:fldCharType="separate"/>
            </w:r>
            <w:r w:rsidRPr="54AD4DA9">
              <w:rPr>
                <w:rStyle w:val="Hyperlink"/>
              </w:rPr>
              <w:t>52</w:t>
            </w:r>
            <w:r w:rsidR="006A7045">
              <w:fldChar w:fldCharType="end"/>
            </w:r>
          </w:hyperlink>
        </w:p>
        <w:p w14:paraId="690CC4D3" w14:textId="257D620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35252617">
            <w:r w:rsidRPr="54AD4DA9">
              <w:rPr>
                <w:rStyle w:val="Hyperlink"/>
              </w:rPr>
              <w:t>8.1.3 Assigning Reference Persons across Participating Organizations</w:t>
            </w:r>
            <w:r w:rsidR="006A7045">
              <w:tab/>
            </w:r>
            <w:r w:rsidR="006A7045">
              <w:fldChar w:fldCharType="begin"/>
            </w:r>
            <w:r w:rsidR="006A7045">
              <w:instrText>PAGEREF _Toc1235252617 \h</w:instrText>
            </w:r>
            <w:r w:rsidR="006A7045">
              <w:fldChar w:fldCharType="separate"/>
            </w:r>
            <w:r w:rsidRPr="54AD4DA9">
              <w:rPr>
                <w:rStyle w:val="Hyperlink"/>
              </w:rPr>
              <w:t>53</w:t>
            </w:r>
            <w:r w:rsidR="006A7045">
              <w:fldChar w:fldCharType="end"/>
            </w:r>
          </w:hyperlink>
        </w:p>
        <w:p w14:paraId="29E7B0B0" w14:textId="1E18DDF9"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0654306">
            <w:r w:rsidRPr="54AD4DA9">
              <w:rPr>
                <w:rStyle w:val="Hyperlink"/>
              </w:rPr>
              <w:t>8.1.4 Drafting and Signing Founding Agreements</w:t>
            </w:r>
            <w:r w:rsidR="006A7045">
              <w:tab/>
            </w:r>
            <w:r w:rsidR="006A7045">
              <w:fldChar w:fldCharType="begin"/>
            </w:r>
            <w:r w:rsidR="006A7045">
              <w:instrText>PAGEREF _Toc190654306 \h</w:instrText>
            </w:r>
            <w:r w:rsidR="006A7045">
              <w:fldChar w:fldCharType="separate"/>
            </w:r>
            <w:r w:rsidRPr="54AD4DA9">
              <w:rPr>
                <w:rStyle w:val="Hyperlink"/>
              </w:rPr>
              <w:t>53</w:t>
            </w:r>
            <w:r w:rsidR="006A7045">
              <w:fldChar w:fldCharType="end"/>
            </w:r>
          </w:hyperlink>
        </w:p>
        <w:p w14:paraId="38722834" w14:textId="406652F5"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380695817">
            <w:r w:rsidRPr="54AD4DA9">
              <w:rPr>
                <w:rStyle w:val="Hyperlink"/>
              </w:rPr>
              <w:t>8.1.5 First Re-identification Assessment</w:t>
            </w:r>
            <w:r w:rsidR="006A7045">
              <w:tab/>
            </w:r>
            <w:r w:rsidR="006A7045">
              <w:fldChar w:fldCharType="begin"/>
            </w:r>
            <w:r w:rsidR="006A7045">
              <w:instrText>PAGEREF _Toc1380695817 \h</w:instrText>
            </w:r>
            <w:r w:rsidR="006A7045">
              <w:fldChar w:fldCharType="separate"/>
            </w:r>
            <w:r w:rsidRPr="54AD4DA9">
              <w:rPr>
                <w:rStyle w:val="Hyperlink"/>
              </w:rPr>
              <w:t>53</w:t>
            </w:r>
            <w:r w:rsidR="006A7045">
              <w:fldChar w:fldCharType="end"/>
            </w:r>
          </w:hyperlink>
        </w:p>
        <w:p w14:paraId="0E7D2BAF" w14:textId="07B67E7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211290962">
            <w:r w:rsidRPr="54AD4DA9">
              <w:rPr>
                <w:rStyle w:val="Hyperlink"/>
              </w:rPr>
              <w:t>8.1.6 Initial Ethics Review of Existing Use Cases</w:t>
            </w:r>
            <w:r w:rsidR="006A7045">
              <w:tab/>
            </w:r>
            <w:r w:rsidR="006A7045">
              <w:fldChar w:fldCharType="begin"/>
            </w:r>
            <w:r w:rsidR="006A7045">
              <w:instrText>PAGEREF _Toc1211290962 \h</w:instrText>
            </w:r>
            <w:r w:rsidR="006A7045">
              <w:fldChar w:fldCharType="separate"/>
            </w:r>
            <w:r w:rsidRPr="54AD4DA9">
              <w:rPr>
                <w:rStyle w:val="Hyperlink"/>
              </w:rPr>
              <w:t>54</w:t>
            </w:r>
            <w:r w:rsidR="006A7045">
              <w:fldChar w:fldCharType="end"/>
            </w:r>
          </w:hyperlink>
        </w:p>
        <w:p w14:paraId="7301956A" w14:textId="7C56DCAD"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931021226">
            <w:r w:rsidRPr="54AD4DA9">
              <w:rPr>
                <w:rStyle w:val="Hyperlink"/>
              </w:rPr>
              <w:t>8.2 Phase 2: Framework Implementation (3 to 12 months)</w:t>
            </w:r>
            <w:r w:rsidR="006A7045">
              <w:tab/>
            </w:r>
            <w:r w:rsidR="006A7045">
              <w:fldChar w:fldCharType="begin"/>
            </w:r>
            <w:r w:rsidR="006A7045">
              <w:instrText>PAGEREF _Toc931021226 \h</w:instrText>
            </w:r>
            <w:r w:rsidR="006A7045">
              <w:fldChar w:fldCharType="separate"/>
            </w:r>
            <w:r w:rsidRPr="54AD4DA9">
              <w:rPr>
                <w:rStyle w:val="Hyperlink"/>
              </w:rPr>
              <w:t>54</w:t>
            </w:r>
            <w:r w:rsidR="006A7045">
              <w:fldChar w:fldCharType="end"/>
            </w:r>
          </w:hyperlink>
        </w:p>
        <w:p w14:paraId="1ECDF03B" w14:textId="2CBB9A49"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664391028">
            <w:r w:rsidRPr="54AD4DA9">
              <w:rPr>
                <w:rStyle w:val="Hyperlink"/>
              </w:rPr>
              <w:t>8.2.1 Implementing API-Key Usage Tracking</w:t>
            </w:r>
            <w:r w:rsidR="006A7045">
              <w:tab/>
            </w:r>
            <w:r w:rsidR="006A7045">
              <w:fldChar w:fldCharType="begin"/>
            </w:r>
            <w:r w:rsidR="006A7045">
              <w:instrText>PAGEREF _Toc1664391028 \h</w:instrText>
            </w:r>
            <w:r w:rsidR="006A7045">
              <w:fldChar w:fldCharType="separate"/>
            </w:r>
            <w:r w:rsidRPr="54AD4DA9">
              <w:rPr>
                <w:rStyle w:val="Hyperlink"/>
              </w:rPr>
              <w:t>54</w:t>
            </w:r>
            <w:r w:rsidR="006A7045">
              <w:fldChar w:fldCharType="end"/>
            </w:r>
          </w:hyperlink>
        </w:p>
        <w:p w14:paraId="5D85D07D" w14:textId="1452B317"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070120289">
            <w:r w:rsidRPr="54AD4DA9">
              <w:rPr>
                <w:rStyle w:val="Hyperlink"/>
              </w:rPr>
              <w:t>8.2.2 Completing Data Sharing Agreements</w:t>
            </w:r>
            <w:r w:rsidR="006A7045">
              <w:tab/>
            </w:r>
            <w:r w:rsidR="006A7045">
              <w:fldChar w:fldCharType="begin"/>
            </w:r>
            <w:r w:rsidR="006A7045">
              <w:instrText>PAGEREF _Toc1070120289 \h</w:instrText>
            </w:r>
            <w:r w:rsidR="006A7045">
              <w:fldChar w:fldCharType="separate"/>
            </w:r>
            <w:r w:rsidRPr="54AD4DA9">
              <w:rPr>
                <w:rStyle w:val="Hyperlink"/>
              </w:rPr>
              <w:t>55</w:t>
            </w:r>
            <w:r w:rsidR="006A7045">
              <w:fldChar w:fldCharType="end"/>
            </w:r>
          </w:hyperlink>
        </w:p>
        <w:p w14:paraId="719C2911" w14:textId="50B762B6"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607559785">
            <w:r w:rsidRPr="54AD4DA9">
              <w:rPr>
                <w:rStyle w:val="Hyperlink"/>
              </w:rPr>
              <w:t>8.2.3 Operationalising Onboarding Procedures</w:t>
            </w:r>
            <w:r w:rsidR="006A7045">
              <w:tab/>
            </w:r>
            <w:r w:rsidR="006A7045">
              <w:fldChar w:fldCharType="begin"/>
            </w:r>
            <w:r w:rsidR="006A7045">
              <w:instrText>PAGEREF _Toc1607559785 \h</w:instrText>
            </w:r>
            <w:r w:rsidR="006A7045">
              <w:fldChar w:fldCharType="separate"/>
            </w:r>
            <w:r w:rsidRPr="54AD4DA9">
              <w:rPr>
                <w:rStyle w:val="Hyperlink"/>
              </w:rPr>
              <w:t>55</w:t>
            </w:r>
            <w:r w:rsidR="006A7045">
              <w:fldChar w:fldCharType="end"/>
            </w:r>
          </w:hyperlink>
        </w:p>
        <w:p w14:paraId="0EE07354" w14:textId="6851A1A8"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526420266">
            <w:r w:rsidRPr="54AD4DA9">
              <w:rPr>
                <w:rStyle w:val="Hyperlink"/>
              </w:rPr>
              <w:t>8.2.4 First Compliance Audit</w:t>
            </w:r>
            <w:r w:rsidR="006A7045">
              <w:tab/>
            </w:r>
            <w:r w:rsidR="006A7045">
              <w:fldChar w:fldCharType="begin"/>
            </w:r>
            <w:r w:rsidR="006A7045">
              <w:instrText>PAGEREF _Toc1526420266 \h</w:instrText>
            </w:r>
            <w:r w:rsidR="006A7045">
              <w:fldChar w:fldCharType="separate"/>
            </w:r>
            <w:r w:rsidRPr="54AD4DA9">
              <w:rPr>
                <w:rStyle w:val="Hyperlink"/>
              </w:rPr>
              <w:t>55</w:t>
            </w:r>
            <w:r w:rsidR="006A7045">
              <w:fldChar w:fldCharType="end"/>
            </w:r>
          </w:hyperlink>
        </w:p>
        <w:p w14:paraId="53B5249F" w14:textId="5A542D7D"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2052363910">
            <w:r w:rsidRPr="54AD4DA9">
              <w:rPr>
                <w:rStyle w:val="Hyperlink"/>
              </w:rPr>
              <w:t>8.2.5 First KPI Measurement Round</w:t>
            </w:r>
            <w:r w:rsidR="006A7045">
              <w:tab/>
            </w:r>
            <w:r w:rsidR="006A7045">
              <w:fldChar w:fldCharType="begin"/>
            </w:r>
            <w:r w:rsidR="006A7045">
              <w:instrText>PAGEREF _Toc2052363910 \h</w:instrText>
            </w:r>
            <w:r w:rsidR="006A7045">
              <w:fldChar w:fldCharType="separate"/>
            </w:r>
            <w:r w:rsidRPr="54AD4DA9">
              <w:rPr>
                <w:rStyle w:val="Hyperlink"/>
              </w:rPr>
              <w:t>55</w:t>
            </w:r>
            <w:r w:rsidR="006A7045">
              <w:fldChar w:fldCharType="end"/>
            </w:r>
          </w:hyperlink>
        </w:p>
        <w:p w14:paraId="674AD00F" w14:textId="7E2D9A50" w:rsidR="006A7045" w:rsidRDefault="54AD4DA9" w:rsidP="54AD4DA9">
          <w:pPr>
            <w:pStyle w:val="TOC2"/>
            <w:tabs>
              <w:tab w:val="right" w:leader="dot" w:pos="9015"/>
            </w:tabs>
            <w:rPr>
              <w:rFonts w:asciiTheme="minorHAnsi" w:eastAsiaTheme="minorEastAsia" w:hAnsiTheme="minorHAnsi" w:cstheme="minorBidi"/>
              <w:noProof/>
              <w:lang w:val="nl-NL" w:eastAsia="nl-NL"/>
            </w:rPr>
          </w:pPr>
          <w:hyperlink w:anchor="_Toc2075260455">
            <w:r w:rsidRPr="54AD4DA9">
              <w:rPr>
                <w:rStyle w:val="Hyperlink"/>
              </w:rPr>
              <w:t>8.3 Phase 3: Maturation and Scaling (1 to 3 years)</w:t>
            </w:r>
            <w:r w:rsidR="006A7045">
              <w:tab/>
            </w:r>
            <w:r w:rsidR="006A7045">
              <w:fldChar w:fldCharType="begin"/>
            </w:r>
            <w:r w:rsidR="006A7045">
              <w:instrText>PAGEREF _Toc2075260455 \h</w:instrText>
            </w:r>
            <w:r w:rsidR="006A7045">
              <w:fldChar w:fldCharType="separate"/>
            </w:r>
            <w:r w:rsidRPr="54AD4DA9">
              <w:rPr>
                <w:rStyle w:val="Hyperlink"/>
              </w:rPr>
              <w:t>55</w:t>
            </w:r>
            <w:r w:rsidR="006A7045">
              <w:fldChar w:fldCharType="end"/>
            </w:r>
          </w:hyperlink>
        </w:p>
        <w:p w14:paraId="3C1CC9A8" w14:textId="117CC693"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197431626">
            <w:r w:rsidRPr="54AD4DA9">
              <w:rPr>
                <w:rStyle w:val="Hyperlink"/>
              </w:rPr>
              <w:t>8.3.1 Continuous Governance Improvement</w:t>
            </w:r>
            <w:r w:rsidR="006A7045">
              <w:tab/>
            </w:r>
            <w:r w:rsidR="006A7045">
              <w:fldChar w:fldCharType="begin"/>
            </w:r>
            <w:r w:rsidR="006A7045">
              <w:instrText>PAGEREF _Toc1197431626 \h</w:instrText>
            </w:r>
            <w:r w:rsidR="006A7045">
              <w:fldChar w:fldCharType="separate"/>
            </w:r>
            <w:r w:rsidRPr="54AD4DA9">
              <w:rPr>
                <w:rStyle w:val="Hyperlink"/>
              </w:rPr>
              <w:t>56</w:t>
            </w:r>
            <w:r w:rsidR="006A7045">
              <w:fldChar w:fldCharType="end"/>
            </w:r>
          </w:hyperlink>
        </w:p>
        <w:p w14:paraId="377115B0" w14:textId="2CD216BF"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400283821">
            <w:r w:rsidRPr="54AD4DA9">
              <w:rPr>
                <w:rStyle w:val="Hyperlink"/>
              </w:rPr>
              <w:t>8.3.2 Controlled Expansion of the Dataspace</w:t>
            </w:r>
            <w:r w:rsidR="006A7045">
              <w:tab/>
            </w:r>
            <w:r w:rsidR="006A7045">
              <w:fldChar w:fldCharType="begin"/>
            </w:r>
            <w:r w:rsidR="006A7045">
              <w:instrText>PAGEREF _Toc1400283821 \h</w:instrText>
            </w:r>
            <w:r w:rsidR="006A7045">
              <w:fldChar w:fldCharType="separate"/>
            </w:r>
            <w:r w:rsidRPr="54AD4DA9">
              <w:rPr>
                <w:rStyle w:val="Hyperlink"/>
              </w:rPr>
              <w:t>56</w:t>
            </w:r>
            <w:r w:rsidR="006A7045">
              <w:fldChar w:fldCharType="end"/>
            </w:r>
          </w:hyperlink>
        </w:p>
        <w:p w14:paraId="0859CABF" w14:textId="7E6128B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180424928">
            <w:r w:rsidRPr="54AD4DA9">
              <w:rPr>
                <w:rStyle w:val="Hyperlink"/>
              </w:rPr>
              <w:t>8.3.3 Maintaining Interoperability and Alignment with European Developments</w:t>
            </w:r>
            <w:r w:rsidR="006A7045">
              <w:tab/>
            </w:r>
            <w:r w:rsidR="006A7045">
              <w:fldChar w:fldCharType="begin"/>
            </w:r>
            <w:r w:rsidR="006A7045">
              <w:instrText>PAGEREF _Toc1180424928 \h</w:instrText>
            </w:r>
            <w:r w:rsidR="006A7045">
              <w:fldChar w:fldCharType="separate"/>
            </w:r>
            <w:r w:rsidRPr="54AD4DA9">
              <w:rPr>
                <w:rStyle w:val="Hyperlink"/>
              </w:rPr>
              <w:t>56</w:t>
            </w:r>
            <w:r w:rsidR="006A7045">
              <w:fldChar w:fldCharType="end"/>
            </w:r>
          </w:hyperlink>
        </w:p>
        <w:p w14:paraId="77C3B1A3" w14:textId="43BFF25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735982405">
            <w:r w:rsidRPr="54AD4DA9">
              <w:rPr>
                <w:rStyle w:val="Hyperlink"/>
              </w:rPr>
              <w:t>8.3.4 Organisational Maturity</w:t>
            </w:r>
            <w:r w:rsidR="006A7045">
              <w:tab/>
            </w:r>
            <w:r w:rsidR="006A7045">
              <w:fldChar w:fldCharType="begin"/>
            </w:r>
            <w:r w:rsidR="006A7045">
              <w:instrText>PAGEREF _Toc1735982405 \h</w:instrText>
            </w:r>
            <w:r w:rsidR="006A7045">
              <w:fldChar w:fldCharType="separate"/>
            </w:r>
            <w:r w:rsidRPr="54AD4DA9">
              <w:rPr>
                <w:rStyle w:val="Hyperlink"/>
              </w:rPr>
              <w:t>56</w:t>
            </w:r>
            <w:r w:rsidR="006A7045">
              <w:fldChar w:fldCharType="end"/>
            </w:r>
          </w:hyperlink>
        </w:p>
        <w:p w14:paraId="2982B985" w14:textId="2F43EE6E" w:rsidR="006A7045" w:rsidRDefault="54AD4DA9" w:rsidP="54AD4DA9">
          <w:pPr>
            <w:pStyle w:val="TOC3"/>
            <w:tabs>
              <w:tab w:val="right" w:leader="dot" w:pos="9015"/>
            </w:tabs>
            <w:rPr>
              <w:rFonts w:asciiTheme="minorHAnsi" w:eastAsiaTheme="minorEastAsia" w:hAnsiTheme="minorHAnsi" w:cstheme="minorBidi"/>
              <w:noProof/>
              <w:lang w:val="nl-NL" w:eastAsia="nl-NL"/>
            </w:rPr>
          </w:pPr>
          <w:hyperlink w:anchor="_Toc1958769231">
            <w:r w:rsidRPr="54AD4DA9">
              <w:rPr>
                <w:rStyle w:val="Hyperlink"/>
              </w:rPr>
              <w:t>8.3.5 Maintaining Public Trust</w:t>
            </w:r>
            <w:r w:rsidR="006A7045">
              <w:tab/>
            </w:r>
            <w:r w:rsidR="006A7045">
              <w:fldChar w:fldCharType="begin"/>
            </w:r>
            <w:r w:rsidR="006A7045">
              <w:instrText>PAGEREF _Toc1958769231 \h</w:instrText>
            </w:r>
            <w:r w:rsidR="006A7045">
              <w:fldChar w:fldCharType="separate"/>
            </w:r>
            <w:r w:rsidRPr="54AD4DA9">
              <w:rPr>
                <w:rStyle w:val="Hyperlink"/>
              </w:rPr>
              <w:t>56</w:t>
            </w:r>
            <w:r w:rsidR="006A7045">
              <w:fldChar w:fldCharType="end"/>
            </w:r>
          </w:hyperlink>
        </w:p>
        <w:p w14:paraId="48D1F8B6" w14:textId="19CAA402" w:rsidR="54AD4DA9" w:rsidRDefault="54AD4DA9" w:rsidP="54AD4DA9">
          <w:pPr>
            <w:pStyle w:val="TOC2"/>
            <w:tabs>
              <w:tab w:val="right" w:leader="dot" w:pos="9015"/>
            </w:tabs>
          </w:pPr>
          <w:hyperlink w:anchor="_Toc941942901">
            <w:r w:rsidRPr="54AD4DA9">
              <w:rPr>
                <w:rStyle w:val="Hyperlink"/>
              </w:rPr>
              <w:t>8.4 Organisational Sustainability</w:t>
            </w:r>
            <w:r>
              <w:tab/>
            </w:r>
            <w:r>
              <w:fldChar w:fldCharType="begin"/>
            </w:r>
            <w:r>
              <w:instrText>PAGEREF _Toc941942901 \h</w:instrText>
            </w:r>
            <w:r>
              <w:fldChar w:fldCharType="separate"/>
            </w:r>
            <w:r w:rsidRPr="54AD4DA9">
              <w:rPr>
                <w:rStyle w:val="Hyperlink"/>
              </w:rPr>
              <w:t>56</w:t>
            </w:r>
            <w:r>
              <w:fldChar w:fldCharType="end"/>
            </w:r>
          </w:hyperlink>
        </w:p>
        <w:p w14:paraId="1BE0E811" w14:textId="4F31D674" w:rsidR="54AD4DA9" w:rsidRDefault="54AD4DA9" w:rsidP="54AD4DA9">
          <w:pPr>
            <w:pStyle w:val="TOC1"/>
            <w:tabs>
              <w:tab w:val="right" w:leader="dot" w:pos="9015"/>
            </w:tabs>
          </w:pPr>
          <w:hyperlink w:anchor="_Toc382548927">
            <w:r w:rsidRPr="54AD4DA9">
              <w:rPr>
                <w:rStyle w:val="Hyperlink"/>
              </w:rPr>
              <w:t>9. Conclusions and Recommendations</w:t>
            </w:r>
            <w:r>
              <w:tab/>
            </w:r>
            <w:r>
              <w:fldChar w:fldCharType="begin"/>
            </w:r>
            <w:r>
              <w:instrText>PAGEREF _Toc382548927 \h</w:instrText>
            </w:r>
            <w:r>
              <w:fldChar w:fldCharType="separate"/>
            </w:r>
            <w:r w:rsidRPr="54AD4DA9">
              <w:rPr>
                <w:rStyle w:val="Hyperlink"/>
              </w:rPr>
              <w:t>57</w:t>
            </w:r>
            <w:r>
              <w:fldChar w:fldCharType="end"/>
            </w:r>
          </w:hyperlink>
        </w:p>
        <w:p w14:paraId="1F3E95D5" w14:textId="284ABFF3" w:rsidR="54AD4DA9" w:rsidRDefault="54AD4DA9" w:rsidP="54AD4DA9">
          <w:pPr>
            <w:pStyle w:val="TOC1"/>
            <w:tabs>
              <w:tab w:val="right" w:leader="dot" w:pos="9015"/>
            </w:tabs>
          </w:pPr>
          <w:hyperlink w:anchor="_Toc183096419">
            <w:r w:rsidRPr="54AD4DA9">
              <w:rPr>
                <w:rStyle w:val="Hyperlink"/>
              </w:rPr>
              <w:t>10. Appendices</w:t>
            </w:r>
            <w:r>
              <w:tab/>
            </w:r>
            <w:r>
              <w:fldChar w:fldCharType="begin"/>
            </w:r>
            <w:r>
              <w:instrText>PAGEREF _Toc183096419 \h</w:instrText>
            </w:r>
            <w:r>
              <w:fldChar w:fldCharType="separate"/>
            </w:r>
            <w:r w:rsidRPr="54AD4DA9">
              <w:rPr>
                <w:rStyle w:val="Hyperlink"/>
              </w:rPr>
              <w:t>59</w:t>
            </w:r>
            <w:r>
              <w:fldChar w:fldCharType="end"/>
            </w:r>
          </w:hyperlink>
        </w:p>
        <w:p w14:paraId="465832A5" w14:textId="1713EE2C" w:rsidR="000F4DD7" w:rsidRPr="0050011A" w:rsidRDefault="000F4DD7">
          <w:pPr>
            <w:rPr>
              <w:rFonts w:cs="Arial"/>
            </w:rPr>
          </w:pPr>
          <w:r w:rsidRPr="0050011A">
            <w:rPr>
              <w:rFonts w:cs="Arial"/>
              <w:b/>
            </w:rPr>
            <w:fldChar w:fldCharType="end"/>
          </w:r>
        </w:p>
      </w:sdtContent>
    </w:sdt>
    <w:p w14:paraId="57CF6665" w14:textId="1740E1A4" w:rsidR="000F4DD7" w:rsidRPr="0050011A" w:rsidRDefault="000F4DD7" w:rsidP="00E612DD">
      <w:pPr>
        <w:pStyle w:val="Heading1"/>
        <w:rPr>
          <w:rFonts w:cs="Arial"/>
        </w:rPr>
      </w:pPr>
    </w:p>
    <w:p w14:paraId="0FFEC2BD" w14:textId="77777777" w:rsidR="005875D6" w:rsidRDefault="005875D6">
      <w:pPr>
        <w:rPr>
          <w:rFonts w:eastAsiaTheme="majorEastAsia" w:cs="Arial"/>
          <w:b/>
          <w:sz w:val="40"/>
          <w:szCs w:val="40"/>
        </w:rPr>
      </w:pPr>
      <w:bookmarkStart w:id="1" w:name="_Toc1525260477"/>
      <w:r>
        <w:rPr>
          <w:rFonts w:cs="Arial"/>
        </w:rPr>
        <w:br w:type="page"/>
      </w:r>
    </w:p>
    <w:p w14:paraId="4329B7D5" w14:textId="30200793" w:rsidR="00E612DD" w:rsidRPr="0050011A" w:rsidRDefault="00E612DD" w:rsidP="00E612DD">
      <w:pPr>
        <w:pStyle w:val="Heading1"/>
        <w:rPr>
          <w:rFonts w:cs="Arial"/>
        </w:rPr>
      </w:pPr>
      <w:r w:rsidRPr="54AD4DA9">
        <w:rPr>
          <w:rFonts w:cs="Arial"/>
        </w:rPr>
        <w:lastRenderedPageBreak/>
        <w:t>1. Executive Summary</w:t>
      </w:r>
      <w:bookmarkEnd w:id="0"/>
      <w:bookmarkEnd w:id="1"/>
      <w:r w:rsidRPr="54AD4DA9">
        <w:rPr>
          <w:rFonts w:cs="Arial"/>
        </w:rPr>
        <w:t xml:space="preserve"> </w:t>
      </w:r>
    </w:p>
    <w:p w14:paraId="0E1E418B" w14:textId="1D69836F" w:rsidR="005875D6" w:rsidRPr="005875D6" w:rsidRDefault="005875D6" w:rsidP="005875D6">
      <w:r>
        <w:t>The Inzicht Verlicht project is a smart city initiative within the broader European Data Space for Smart Communities (DS4SSCC) programme. The project has successfully established a technical infrastructure for collecting, storing, and sharing traffic flow and air quality data from the J.F. Kennedylaan intersection in Eindhoven. While this technical foundation is operational, research conducted within the CitizenCity project identified that the governance mechanisms required to ensure responsible, transparent, and accountable data use have not yet been fully formalised.</w:t>
      </w:r>
    </w:p>
    <w:p w14:paraId="5A537FB3" w14:textId="62E28CE4" w:rsidR="005875D6" w:rsidRPr="005875D6" w:rsidRDefault="005875D6" w:rsidP="005875D6">
      <w:r>
        <w:t>This advisory report addresses that gap by proposing a governance framework for the Inzicht Verlicht dataspace. The framework is based on findings from the CitizenCity research project and aligns with relevant European legislation and standards, including the General Data Protection Regulation (GDPR), the Data Governance Act (DGA), the Data Act (DA), the Network and Information Security Directive 2, and the DS4SSCC Blueprint Evolution.</w:t>
      </w:r>
    </w:p>
    <w:p w14:paraId="2D154D76" w14:textId="4BBEF9BE" w:rsidR="005875D6" w:rsidRPr="005875D6" w:rsidRDefault="005875D6" w:rsidP="005875D6">
      <w:r>
        <w:t>The research identified six key governance gaps within the current dataspace: undefined roles and responsibilities, the absence of ongoing audit trails, the lack of an operational ethics review process, the absence of a re-identification risk procedure, unresolved governance challenges resulting from the Municipality of Eindhoven’s dual role as both data provider and data user, and the lack of enforcement mechanisms for non-compliance. While previous project phases established strong technical and privacy foundations, these governance gaps create risks relating to accountability, transparency, privacy protection, and public trust.</w:t>
      </w:r>
    </w:p>
    <w:p w14:paraId="0CB4B473" w14:textId="0EC1FA90" w:rsidR="005875D6" w:rsidRPr="005875D6" w:rsidRDefault="005875D6" w:rsidP="005875D6">
      <w:r>
        <w:t>To address these issues, this report proposes a governance framework consisting of clearly defined governance roles, legally enforceable data-sharing agreements, structured access and usage policies, monitoring and auditing mechanisms, mandatory ethics assessments, incident response procedures, and a KPI framework for ongoing evaluation. Particular attention is given to managing conflicts of interest, preventing mission creep, and ensuring that data usage remains aligned with both legal requirements and societal expectations.</w:t>
      </w:r>
    </w:p>
    <w:p w14:paraId="187D1086" w14:textId="3E1F8B4C" w:rsidR="005875D6" w:rsidRPr="005875D6" w:rsidRDefault="005875D6" w:rsidP="005875D6">
      <w:r>
        <w:t>The framework is supported by a phased implementation roadmap. In the short term, the establishment of a Governance Authority, the appointment of a Coordinating Entity, and the completion of initial ethics and privacy assessments are identified as priority actions. In the medium term, monitoring mechanisms, onboarding procedures, and compliance audits should be operationalised. Over the longer term, the framework should support continuous improvement, organisational maturity, and responsible expansion of the dataspace.</w:t>
      </w:r>
    </w:p>
    <w:p w14:paraId="7973BF8E" w14:textId="10EFAFFC" w:rsidR="005875D6" w:rsidRPr="005875D6" w:rsidRDefault="005875D6" w:rsidP="005875D6">
      <w:pPr>
        <w:rPr>
          <w:rFonts w:cs="Arial"/>
          <w:sz w:val="24"/>
        </w:rPr>
      </w:pPr>
      <w:bookmarkStart w:id="2" w:name="_Toc230347173"/>
      <w:bookmarkStart w:id="3" w:name="_Toc1364249441"/>
      <w:r w:rsidRPr="005875D6">
        <w:rPr>
          <w:szCs w:val="20"/>
        </w:rPr>
        <w:t>The central recommendation of this report is that governance should be treated as a core component of the dataspace rather than as a supplementary administrative activity. By implementing the recommendations presented in this document, the Municipality of Eindhoven and its partners can strengthen accountability, protect public interests, improve transparency, and ensure that the Inzicht Verlicht dataspace remains aligned with both European standards and the expectations of the citizens it ultimately serves.</w:t>
      </w:r>
      <w:r>
        <w:rPr>
          <w:rFonts w:cs="Arial"/>
        </w:rPr>
        <w:br w:type="page"/>
      </w:r>
    </w:p>
    <w:p w14:paraId="797AF46C" w14:textId="77777777" w:rsidR="00E612DD" w:rsidRPr="0050011A" w:rsidRDefault="00E612DD" w:rsidP="00E612DD">
      <w:pPr>
        <w:pStyle w:val="Heading1"/>
        <w:rPr>
          <w:rFonts w:cs="Arial"/>
        </w:rPr>
      </w:pPr>
      <w:r w:rsidRPr="54AD4DA9">
        <w:rPr>
          <w:rFonts w:cs="Arial"/>
        </w:rPr>
        <w:lastRenderedPageBreak/>
        <w:t>2. Introduction</w:t>
      </w:r>
      <w:bookmarkEnd w:id="2"/>
      <w:bookmarkEnd w:id="3"/>
    </w:p>
    <w:p w14:paraId="4768D7D4" w14:textId="480CB062" w:rsidR="003E2310" w:rsidRPr="0050011A" w:rsidRDefault="003E2310" w:rsidP="003E2310">
      <w:pPr>
        <w:pStyle w:val="Heading2"/>
        <w:rPr>
          <w:rFonts w:cs="Arial"/>
        </w:rPr>
      </w:pPr>
      <w:bookmarkStart w:id="4" w:name="_Toc230347174"/>
      <w:bookmarkStart w:id="5" w:name="_Toc793709182"/>
      <w:r w:rsidRPr="54AD4DA9">
        <w:rPr>
          <w:rFonts w:cs="Arial"/>
        </w:rPr>
        <w:t>2.1 Background and Context</w:t>
      </w:r>
      <w:bookmarkEnd w:id="4"/>
      <w:bookmarkEnd w:id="5"/>
      <w:r w:rsidR="6EFBF417" w:rsidRPr="54AD4DA9">
        <w:rPr>
          <w:rFonts w:cs="Arial"/>
        </w:rPr>
        <w:t xml:space="preserve"> </w:t>
      </w:r>
    </w:p>
    <w:p w14:paraId="35A19349" w14:textId="130F2DB7" w:rsidR="6AC96185" w:rsidRPr="0050011A" w:rsidRDefault="6AC96185" w:rsidP="7EC685E6">
      <w:pPr>
        <w:spacing w:before="240" w:after="240"/>
        <w:rPr>
          <w:rFonts w:cs="Arial"/>
        </w:rPr>
      </w:pPr>
      <w:r w:rsidRPr="0050011A">
        <w:rPr>
          <w:rFonts w:eastAsia="Calibri" w:cs="Arial"/>
        </w:rPr>
        <w:t xml:space="preserve">The Inzicht Verlicht project is a smart city initiative carried out by the Fontys ICT InnovationLab in collaboration with the Municipality of Eindhoven. It is part of the broader European Data Space for Smart Communities (DS4SSCC) initiative, which promotes secure and interoperable data sharing between cities, organisations, research institutions </w:t>
      </w:r>
      <w:r w:rsidR="11F74CDB" w:rsidRPr="0050011A">
        <w:rPr>
          <w:rFonts w:eastAsia="Calibri" w:cs="Arial"/>
        </w:rPr>
        <w:t xml:space="preserve">and citizens </w:t>
      </w:r>
      <w:r w:rsidR="410C0B6A" w:rsidRPr="0050011A">
        <w:rPr>
          <w:rFonts w:eastAsia="Calibri" w:cs="Arial"/>
        </w:rPr>
        <w:t xml:space="preserve">across </w:t>
      </w:r>
      <w:r w:rsidRPr="0050011A">
        <w:rPr>
          <w:rFonts w:eastAsia="Calibri" w:cs="Arial"/>
        </w:rPr>
        <w:t xml:space="preserve">Europe. Eindhoven participates as a pilot city, contributing </w:t>
      </w:r>
      <w:r w:rsidR="6713DD2E" w:rsidRPr="0050011A">
        <w:rPr>
          <w:rFonts w:eastAsia="Calibri" w:cs="Arial"/>
        </w:rPr>
        <w:t xml:space="preserve">to </w:t>
      </w:r>
      <w:r w:rsidRPr="0050011A">
        <w:rPr>
          <w:rFonts w:eastAsia="Calibri" w:cs="Arial"/>
        </w:rPr>
        <w:t xml:space="preserve">a local use case </w:t>
      </w:r>
      <w:r w:rsidR="5C5982AE" w:rsidRPr="0050011A">
        <w:rPr>
          <w:rFonts w:eastAsia="Calibri" w:cs="Arial"/>
        </w:rPr>
        <w:t>which</w:t>
      </w:r>
      <w:r w:rsidRPr="0050011A">
        <w:rPr>
          <w:rFonts w:eastAsia="Calibri" w:cs="Arial"/>
        </w:rPr>
        <w:t xml:space="preserve"> test</w:t>
      </w:r>
      <w:r w:rsidR="41071F35" w:rsidRPr="0050011A">
        <w:rPr>
          <w:rFonts w:eastAsia="Calibri" w:cs="Arial"/>
        </w:rPr>
        <w:t xml:space="preserve">s </w:t>
      </w:r>
      <w:r w:rsidRPr="0050011A">
        <w:rPr>
          <w:rFonts w:eastAsia="Calibri" w:cs="Arial"/>
        </w:rPr>
        <w:t>data space concepts, governance models and technical standards.</w:t>
      </w:r>
      <w:r w:rsidR="2032B286" w:rsidRPr="0050011A">
        <w:rPr>
          <w:rFonts w:eastAsia="Calibri" w:cs="Arial"/>
        </w:rPr>
        <w:t xml:space="preserve"> </w:t>
      </w:r>
      <w:r w:rsidRPr="0050011A">
        <w:rPr>
          <w:rFonts w:eastAsia="Calibri" w:cs="Arial"/>
        </w:rPr>
        <w:t>Data is collected at the J.F. Kennedylaan intersection in Eindhoven, where sensors monitor traffic flows</w:t>
      </w:r>
      <w:r w:rsidR="4599C428" w:rsidRPr="0050011A">
        <w:rPr>
          <w:rFonts w:eastAsia="Calibri" w:cs="Arial"/>
        </w:rPr>
        <w:t xml:space="preserve"> and </w:t>
      </w:r>
      <w:r w:rsidRPr="0050011A">
        <w:rPr>
          <w:rFonts w:eastAsia="Calibri" w:cs="Arial"/>
        </w:rPr>
        <w:t>air quality. The data is gathered and managed by the municipality, in collaboration with the InnovationLab.</w:t>
      </w:r>
      <w:r w:rsidR="4B78B6B3" w:rsidRPr="0050011A">
        <w:rPr>
          <w:rFonts w:eastAsia="Calibri" w:cs="Arial"/>
        </w:rPr>
        <w:t xml:space="preserve"> </w:t>
      </w:r>
      <w:r w:rsidRPr="0050011A">
        <w:rPr>
          <w:rFonts w:eastAsia="Calibri" w:cs="Arial"/>
        </w:rPr>
        <w:t>Previous project phases focused on analysing and visualising the collected data, and on building the technical foundation of the dataspace. As a result, the core infrastructure is now operational: data is being collected, stored and made accessible within the dataspace environment.</w:t>
      </w:r>
      <w:r w:rsidR="33B766FB" w:rsidRPr="0050011A">
        <w:rPr>
          <w:rFonts w:eastAsia="Calibri" w:cs="Arial"/>
        </w:rPr>
        <w:t xml:space="preserve"> </w:t>
      </w:r>
      <w:r w:rsidRPr="0050011A">
        <w:rPr>
          <w:rFonts w:eastAsia="Calibri" w:cs="Arial"/>
        </w:rPr>
        <w:t xml:space="preserve">However, while the technical layer is in place, the governance layer that makes data usage responsible and trustworthy does not yet exist in a structured form. </w:t>
      </w:r>
      <w:r w:rsidR="272C93A2" w:rsidRPr="0050011A">
        <w:rPr>
          <w:rFonts w:eastAsia="Calibri" w:cs="Arial"/>
        </w:rPr>
        <w:t>There are processes for recourse description management, recourse search within dataspace and access/onboarding request to dataspace</w:t>
      </w:r>
      <w:r w:rsidR="00773E42">
        <w:rPr>
          <w:rFonts w:eastAsia="Calibri" w:cs="Arial"/>
        </w:rPr>
        <w:t>,</w:t>
      </w:r>
      <w:r w:rsidR="272C93A2" w:rsidRPr="0050011A">
        <w:rPr>
          <w:rFonts w:eastAsia="Calibri" w:cs="Arial"/>
        </w:rPr>
        <w:t xml:space="preserve"> which are based </w:t>
      </w:r>
      <w:r w:rsidR="08C2FF5B" w:rsidRPr="0050011A">
        <w:rPr>
          <w:rFonts w:eastAsia="Calibri" w:cs="Arial"/>
        </w:rPr>
        <w:t>on Simpl</w:t>
      </w:r>
      <w:r w:rsidR="6E03591D" w:rsidRPr="0050011A">
        <w:rPr>
          <w:rFonts w:eastAsia="Calibri" w:cs="Arial"/>
        </w:rPr>
        <w:t>, a technical and governance reference framework within which the DS4SSCC initiative.</w:t>
      </w:r>
      <w:r w:rsidRPr="0050011A">
        <w:rPr>
          <w:rFonts w:eastAsia="Calibri" w:cs="Arial"/>
        </w:rPr>
        <w:t xml:space="preserve"> </w:t>
      </w:r>
      <w:r w:rsidR="503186A0" w:rsidRPr="0050011A">
        <w:rPr>
          <w:rFonts w:eastAsia="Calibri" w:cs="Arial"/>
        </w:rPr>
        <w:t>Th</w:t>
      </w:r>
      <w:r w:rsidR="63195A98" w:rsidRPr="0050011A">
        <w:rPr>
          <w:rFonts w:eastAsia="Calibri" w:cs="Arial"/>
        </w:rPr>
        <w:t xml:space="preserve">is </w:t>
      </w:r>
      <w:r w:rsidR="503186A0" w:rsidRPr="0050011A">
        <w:rPr>
          <w:rFonts w:eastAsia="Calibri" w:cs="Arial"/>
        </w:rPr>
        <w:t>framework provides a solid conceptual governance foundation</w:t>
      </w:r>
      <w:r w:rsidR="00DA0D5D">
        <w:rPr>
          <w:rFonts w:eastAsia="Calibri" w:cs="Arial"/>
        </w:rPr>
        <w:t>,</w:t>
      </w:r>
      <w:r w:rsidR="503186A0" w:rsidRPr="0050011A">
        <w:rPr>
          <w:rFonts w:eastAsia="Calibri" w:cs="Arial"/>
        </w:rPr>
        <w:t xml:space="preserve"> such as roles, principles, structures and participation guidelines</w:t>
      </w:r>
      <w:r w:rsidR="263A4AA8" w:rsidRPr="0050011A">
        <w:rPr>
          <w:rFonts w:eastAsia="Calibri" w:cs="Arial"/>
        </w:rPr>
        <w:t>,</w:t>
      </w:r>
      <w:r w:rsidR="503186A0" w:rsidRPr="0050011A">
        <w:rPr>
          <w:rFonts w:eastAsia="Calibri" w:cs="Arial"/>
        </w:rPr>
        <w:t xml:space="preserve"> but at the local pilot level, including Inzicht Verlicht, this has not yet been translated into operational, enforceable governance procedures.</w:t>
      </w:r>
    </w:p>
    <w:p w14:paraId="0186265D" w14:textId="5FE05452" w:rsidR="7EC685E6" w:rsidRPr="0050011A" w:rsidRDefault="6AC96185" w:rsidP="00712780">
      <w:pPr>
        <w:spacing w:before="240" w:after="240"/>
        <w:rPr>
          <w:rFonts w:eastAsia="Calibri" w:cs="Arial"/>
        </w:rPr>
      </w:pPr>
      <w:r w:rsidRPr="0050011A">
        <w:rPr>
          <w:rFonts w:eastAsia="Calibri" w:cs="Arial"/>
        </w:rPr>
        <w:t>This document addresses that gap. It provides strategic guidance on governance structures, protocols and procedures to ensure that the dataspace operates transparently, ethically and in accordance with applicable legal and organisational standards.</w:t>
      </w:r>
    </w:p>
    <w:p w14:paraId="2319BBB5" w14:textId="77777777" w:rsidR="008224BB" w:rsidRPr="0050011A" w:rsidRDefault="008224BB" w:rsidP="00712780">
      <w:pPr>
        <w:spacing w:before="240" w:after="240"/>
        <w:rPr>
          <w:rFonts w:cs="Arial"/>
        </w:rPr>
      </w:pPr>
    </w:p>
    <w:p w14:paraId="7961A98F" w14:textId="77777777" w:rsidR="003E2310" w:rsidRPr="0050011A" w:rsidRDefault="003E2310" w:rsidP="003E2310">
      <w:pPr>
        <w:pStyle w:val="Heading2"/>
        <w:rPr>
          <w:rFonts w:cs="Arial"/>
        </w:rPr>
      </w:pPr>
      <w:bookmarkStart w:id="6" w:name="_Toc230347175"/>
      <w:bookmarkStart w:id="7" w:name="_Toc356170106"/>
      <w:r w:rsidRPr="54AD4DA9">
        <w:rPr>
          <w:rFonts w:cs="Arial"/>
        </w:rPr>
        <w:t>2.2 Purpose and Audience of This Document</w:t>
      </w:r>
      <w:bookmarkEnd w:id="6"/>
      <w:bookmarkEnd w:id="7"/>
    </w:p>
    <w:p w14:paraId="52EAE9E8" w14:textId="36D311DB" w:rsidR="0097665A" w:rsidRPr="0050011A" w:rsidRDefault="00A52781" w:rsidP="003E2310">
      <w:pPr>
        <w:rPr>
          <w:rFonts w:cs="Arial"/>
        </w:rPr>
      </w:pPr>
      <w:r w:rsidRPr="0050011A">
        <w:rPr>
          <w:rFonts w:cs="Arial"/>
        </w:rPr>
        <w:t xml:space="preserve">This document is </w:t>
      </w:r>
      <w:r w:rsidR="0097665A" w:rsidRPr="0050011A">
        <w:rPr>
          <w:rFonts w:cs="Arial"/>
        </w:rPr>
        <w:t>an</w:t>
      </w:r>
      <w:r w:rsidR="009B5A65" w:rsidRPr="0050011A">
        <w:rPr>
          <w:rFonts w:cs="Arial"/>
        </w:rPr>
        <w:t xml:space="preserve"> advisory report made for </w:t>
      </w:r>
      <w:r w:rsidR="00826DE8" w:rsidRPr="0050011A">
        <w:rPr>
          <w:rFonts w:cs="Arial"/>
        </w:rPr>
        <w:t>policymakers, municipal decision-makers</w:t>
      </w:r>
      <w:r w:rsidR="00DD7977" w:rsidRPr="0050011A">
        <w:rPr>
          <w:rFonts w:cs="Arial"/>
        </w:rPr>
        <w:t xml:space="preserve">, and legal stakeholders </w:t>
      </w:r>
      <w:r w:rsidR="00383D3F" w:rsidRPr="0050011A">
        <w:rPr>
          <w:rFonts w:cs="Arial"/>
        </w:rPr>
        <w:t>who are involved or responsible for the Inzicht Verlicht dataspace. It is not a technical manual and does not modify or replace the existing technical infrastructure of the dataspace.</w:t>
      </w:r>
    </w:p>
    <w:p w14:paraId="4DD98F91" w14:textId="2F260D9D" w:rsidR="0097665A" w:rsidRPr="0050011A" w:rsidRDefault="0097665A" w:rsidP="003E2310">
      <w:pPr>
        <w:rPr>
          <w:rFonts w:cs="Arial"/>
        </w:rPr>
      </w:pPr>
      <w:r w:rsidRPr="0050011A">
        <w:rPr>
          <w:rFonts w:cs="Arial"/>
        </w:rPr>
        <w:t xml:space="preserve">The purpose of this report is to provide a </w:t>
      </w:r>
      <w:r w:rsidR="005154BF" w:rsidRPr="0050011A">
        <w:rPr>
          <w:rFonts w:cs="Arial"/>
        </w:rPr>
        <w:t xml:space="preserve">structured </w:t>
      </w:r>
      <w:r w:rsidR="001B791E" w:rsidRPr="0050011A">
        <w:rPr>
          <w:rFonts w:cs="Arial"/>
        </w:rPr>
        <w:t>governance</w:t>
      </w:r>
      <w:r w:rsidR="009F121E" w:rsidRPr="0050011A">
        <w:rPr>
          <w:rFonts w:cs="Arial"/>
        </w:rPr>
        <w:t xml:space="preserve"> framework </w:t>
      </w:r>
      <w:r w:rsidR="00693DE7" w:rsidRPr="0050011A">
        <w:rPr>
          <w:rFonts w:cs="Arial"/>
        </w:rPr>
        <w:t xml:space="preserve">with practical recommendations </w:t>
      </w:r>
      <w:r w:rsidR="00574DFA" w:rsidRPr="0050011A">
        <w:rPr>
          <w:rFonts w:cs="Arial"/>
        </w:rPr>
        <w:t>that</w:t>
      </w:r>
      <w:r w:rsidR="00B52671" w:rsidRPr="0050011A">
        <w:rPr>
          <w:rFonts w:cs="Arial"/>
        </w:rPr>
        <w:t xml:space="preserve"> </w:t>
      </w:r>
      <w:r w:rsidR="00FF4A67" w:rsidRPr="0050011A">
        <w:rPr>
          <w:rFonts w:cs="Arial"/>
        </w:rPr>
        <w:t>guide</w:t>
      </w:r>
      <w:r w:rsidR="00E60A79" w:rsidRPr="0050011A">
        <w:rPr>
          <w:rFonts w:cs="Arial"/>
        </w:rPr>
        <w:t xml:space="preserve"> stakeholders </w:t>
      </w:r>
      <w:r w:rsidR="00FF4A67" w:rsidRPr="0050011A">
        <w:rPr>
          <w:rFonts w:cs="Arial"/>
        </w:rPr>
        <w:t xml:space="preserve">in managing </w:t>
      </w:r>
      <w:r w:rsidR="005F7E9C" w:rsidRPr="0050011A">
        <w:rPr>
          <w:rFonts w:cs="Arial"/>
        </w:rPr>
        <w:t xml:space="preserve">and monitoring data usage in a responsible, </w:t>
      </w:r>
      <w:r w:rsidR="001B791E" w:rsidRPr="0050011A">
        <w:rPr>
          <w:rFonts w:cs="Arial"/>
        </w:rPr>
        <w:t>transparent,</w:t>
      </w:r>
      <w:r w:rsidR="005F7E9C" w:rsidRPr="0050011A">
        <w:rPr>
          <w:rFonts w:cs="Arial"/>
        </w:rPr>
        <w:t xml:space="preserve"> and ethical way</w:t>
      </w:r>
      <w:r w:rsidR="00AA249E" w:rsidRPr="0050011A">
        <w:rPr>
          <w:rFonts w:cs="Arial"/>
        </w:rPr>
        <w:t xml:space="preserve">. </w:t>
      </w:r>
      <w:r w:rsidR="00AC0433" w:rsidRPr="0050011A">
        <w:rPr>
          <w:rFonts w:cs="Arial"/>
        </w:rPr>
        <w:t>In this document</w:t>
      </w:r>
      <w:r w:rsidR="00931DF1" w:rsidRPr="0050011A">
        <w:rPr>
          <w:rFonts w:cs="Arial"/>
        </w:rPr>
        <w:t>, roles</w:t>
      </w:r>
      <w:r w:rsidR="00782687" w:rsidRPr="0050011A">
        <w:rPr>
          <w:rFonts w:cs="Arial"/>
        </w:rPr>
        <w:t xml:space="preserve"> and responsibilities are further defined</w:t>
      </w:r>
      <w:r w:rsidR="003C65C6" w:rsidRPr="0050011A">
        <w:rPr>
          <w:rFonts w:cs="Arial"/>
        </w:rPr>
        <w:t xml:space="preserve"> along with data sharing agreements, access and usage policies, monitoring </w:t>
      </w:r>
      <w:r w:rsidR="00931DF1" w:rsidRPr="0050011A">
        <w:rPr>
          <w:rFonts w:cs="Arial"/>
        </w:rPr>
        <w:t>mechanisms</w:t>
      </w:r>
      <w:r w:rsidR="006A4EB7" w:rsidRPr="0050011A">
        <w:rPr>
          <w:rFonts w:cs="Arial"/>
        </w:rPr>
        <w:t>, and ethics review procedures.</w:t>
      </w:r>
      <w:r w:rsidR="00575F47" w:rsidRPr="0050011A">
        <w:rPr>
          <w:rFonts w:cs="Arial"/>
        </w:rPr>
        <w:t xml:space="preserve"> It also </w:t>
      </w:r>
      <w:r w:rsidR="00420479" w:rsidRPr="0050011A">
        <w:rPr>
          <w:rFonts w:cs="Arial"/>
        </w:rPr>
        <w:t xml:space="preserve">notes the </w:t>
      </w:r>
      <w:r w:rsidR="00FB2F5F" w:rsidRPr="0050011A">
        <w:rPr>
          <w:rFonts w:cs="Arial"/>
        </w:rPr>
        <w:t>organisational resources</w:t>
      </w:r>
      <w:r w:rsidR="00753425" w:rsidRPr="0050011A">
        <w:rPr>
          <w:rFonts w:cs="Arial"/>
        </w:rPr>
        <w:t xml:space="preserve"> that are needed to maintain </w:t>
      </w:r>
      <w:r w:rsidR="00FB2F5F" w:rsidRPr="0050011A">
        <w:rPr>
          <w:rFonts w:cs="Arial"/>
        </w:rPr>
        <w:t>and sustain the framework after the project period.</w:t>
      </w:r>
      <w:r w:rsidR="00F1347F" w:rsidRPr="0050011A">
        <w:rPr>
          <w:rFonts w:cs="Arial"/>
        </w:rPr>
        <w:br/>
        <w:t xml:space="preserve">This </w:t>
      </w:r>
      <w:r w:rsidR="00E92639" w:rsidRPr="0050011A">
        <w:rPr>
          <w:rFonts w:cs="Arial"/>
        </w:rPr>
        <w:t xml:space="preserve">document is </w:t>
      </w:r>
      <w:r w:rsidR="00180D39" w:rsidRPr="0050011A">
        <w:rPr>
          <w:rFonts w:cs="Arial"/>
        </w:rPr>
        <w:t xml:space="preserve">intentionally written at </w:t>
      </w:r>
      <w:r w:rsidR="00B30148" w:rsidRPr="0050011A">
        <w:rPr>
          <w:rFonts w:cs="Arial"/>
        </w:rPr>
        <w:t xml:space="preserve">the </w:t>
      </w:r>
      <w:r w:rsidR="00180D39" w:rsidRPr="0050011A">
        <w:rPr>
          <w:rFonts w:cs="Arial"/>
        </w:rPr>
        <w:t>policy level</w:t>
      </w:r>
      <w:r w:rsidR="00B30148" w:rsidRPr="0050011A">
        <w:rPr>
          <w:rFonts w:cs="Arial"/>
        </w:rPr>
        <w:t>, as t</w:t>
      </w:r>
      <w:r w:rsidR="00180D39" w:rsidRPr="0050011A">
        <w:rPr>
          <w:rFonts w:cs="Arial"/>
        </w:rPr>
        <w:t>he technical implementation details are out of scope</w:t>
      </w:r>
      <w:r w:rsidR="002311BD" w:rsidRPr="0050011A">
        <w:rPr>
          <w:rFonts w:cs="Arial"/>
        </w:rPr>
        <w:t xml:space="preserve">. Readers do not </w:t>
      </w:r>
      <w:r w:rsidR="00A927F3" w:rsidRPr="0050011A">
        <w:rPr>
          <w:rFonts w:cs="Arial"/>
        </w:rPr>
        <w:t>need a technical background to understand or act on the recommendations that are made throughout this document.</w:t>
      </w:r>
    </w:p>
    <w:p w14:paraId="50BB625C" w14:textId="68A6B9D9" w:rsidR="00A52781" w:rsidRPr="0050011A" w:rsidRDefault="007A0527" w:rsidP="003E2310">
      <w:pPr>
        <w:rPr>
          <w:rFonts w:cs="Arial"/>
        </w:rPr>
      </w:pPr>
      <w:r w:rsidRPr="0050011A">
        <w:rPr>
          <w:rFonts w:cs="Arial"/>
        </w:rPr>
        <w:t xml:space="preserve">While the framework is </w:t>
      </w:r>
      <w:r w:rsidR="00E21832" w:rsidRPr="0050011A">
        <w:rPr>
          <w:rFonts w:cs="Arial"/>
        </w:rPr>
        <w:t>made using</w:t>
      </w:r>
      <w:r w:rsidRPr="0050011A">
        <w:rPr>
          <w:rFonts w:cs="Arial"/>
        </w:rPr>
        <w:t xml:space="preserve"> the specific </w:t>
      </w:r>
      <w:r w:rsidR="00D81354" w:rsidRPr="0050011A">
        <w:rPr>
          <w:rFonts w:cs="Arial"/>
        </w:rPr>
        <w:t>context of the Inzicht Verlicht dataspace in Eindhoven</w:t>
      </w:r>
      <w:r w:rsidR="00F611F4" w:rsidRPr="0050011A">
        <w:rPr>
          <w:rFonts w:cs="Arial"/>
        </w:rPr>
        <w:t>, it is designed to be scalable</w:t>
      </w:r>
      <w:r w:rsidR="00E92842" w:rsidRPr="0050011A">
        <w:rPr>
          <w:rFonts w:cs="Arial"/>
        </w:rPr>
        <w:t xml:space="preserve"> to other </w:t>
      </w:r>
      <w:r w:rsidR="000D75E3" w:rsidRPr="0050011A">
        <w:rPr>
          <w:rFonts w:cs="Arial"/>
        </w:rPr>
        <w:t>cases.</w:t>
      </w:r>
      <w:r w:rsidR="007267EE" w:rsidRPr="0050011A">
        <w:rPr>
          <w:rFonts w:cs="Arial"/>
        </w:rPr>
        <w:t xml:space="preserve"> The governance principles, procedures, and structures </w:t>
      </w:r>
      <w:r w:rsidR="00073C2A" w:rsidRPr="0050011A">
        <w:rPr>
          <w:rFonts w:cs="Arial"/>
        </w:rPr>
        <w:t>written</w:t>
      </w:r>
      <w:r w:rsidR="00111730" w:rsidRPr="0050011A">
        <w:rPr>
          <w:rFonts w:cs="Arial"/>
        </w:rPr>
        <w:t xml:space="preserve"> in this document </w:t>
      </w:r>
      <w:r w:rsidR="006B3B62" w:rsidRPr="0050011A">
        <w:rPr>
          <w:rFonts w:cs="Arial"/>
        </w:rPr>
        <w:t>apply</w:t>
      </w:r>
      <w:r w:rsidR="008C463F" w:rsidRPr="0050011A">
        <w:rPr>
          <w:rFonts w:cs="Arial"/>
        </w:rPr>
        <w:t xml:space="preserve"> to comparable smart city datas</w:t>
      </w:r>
      <w:r w:rsidR="00073C2A" w:rsidRPr="0050011A">
        <w:rPr>
          <w:rFonts w:cs="Arial"/>
        </w:rPr>
        <w:t>p</w:t>
      </w:r>
      <w:r w:rsidR="008C463F" w:rsidRPr="0050011A">
        <w:rPr>
          <w:rFonts w:cs="Arial"/>
        </w:rPr>
        <w:t>ace initiatives</w:t>
      </w:r>
      <w:r w:rsidR="00073C2A" w:rsidRPr="0050011A">
        <w:rPr>
          <w:rFonts w:cs="Arial"/>
        </w:rPr>
        <w:t>.</w:t>
      </w:r>
    </w:p>
    <w:p w14:paraId="0DCEF9C9" w14:textId="77777777" w:rsidR="003E2310" w:rsidRPr="0050011A" w:rsidRDefault="003E2310" w:rsidP="003E2310">
      <w:pPr>
        <w:pStyle w:val="Heading2"/>
        <w:rPr>
          <w:rFonts w:cs="Arial"/>
        </w:rPr>
      </w:pPr>
      <w:bookmarkStart w:id="8" w:name="_Toc230347176"/>
      <w:bookmarkStart w:id="9" w:name="_Toc734369238"/>
      <w:r w:rsidRPr="54AD4DA9">
        <w:rPr>
          <w:rFonts w:cs="Arial"/>
        </w:rPr>
        <w:lastRenderedPageBreak/>
        <w:t>2.3 Scope</w:t>
      </w:r>
      <w:bookmarkEnd w:id="8"/>
      <w:bookmarkEnd w:id="9"/>
    </w:p>
    <w:p w14:paraId="00360815" w14:textId="77777777" w:rsidR="00F52AB4" w:rsidRPr="0050011A" w:rsidRDefault="00F52AB4" w:rsidP="00F52AB4">
      <w:pPr>
        <w:rPr>
          <w:rFonts w:cs="Arial"/>
        </w:rPr>
      </w:pPr>
      <w:r w:rsidRPr="0050011A">
        <w:rPr>
          <w:rFonts w:cs="Arial"/>
        </w:rPr>
        <w:t>This advice document addresses the governance of data usage within the Inzicht-Verlicht dataspace, operated under the CitizenCity project in Eindhoven. It is intended to provide practical, actionable guidance for policymakers and stakeholders involved in data exchange within this smart city context.</w:t>
      </w:r>
    </w:p>
    <w:p w14:paraId="33E0AD8D" w14:textId="56E3FA33" w:rsidR="00F52AB4" w:rsidRPr="0050011A" w:rsidRDefault="00F52AB4" w:rsidP="00F52AB4">
      <w:pPr>
        <w:rPr>
          <w:rFonts w:cs="Arial"/>
        </w:rPr>
      </w:pPr>
      <w:r w:rsidRPr="0050011A">
        <w:rPr>
          <w:rFonts w:cs="Arial"/>
        </w:rPr>
        <w:t xml:space="preserve">The document covers the responsible and ethical use of data within the dataspace, translating core principles such as privacy, transparency, equity, and human-centered design into concrete governance rules. It further addresses legal compliance with GDPR, the Data Governance Act, and related European frameworks, with particular attention to the municipality's dual role as both data holder and primary user. Building on this, the document identifies the legal, ethical, and </w:t>
      </w:r>
      <w:r w:rsidR="00DA0D5D">
        <w:rPr>
          <w:rFonts w:cs="Arial"/>
        </w:rPr>
        <w:t>organisational</w:t>
      </w:r>
      <w:r w:rsidRPr="0050011A">
        <w:rPr>
          <w:rFonts w:cs="Arial"/>
        </w:rPr>
        <w:t xml:space="preserve"> risks that arise from data sharing and proposes practical mitigation measures for each. To ensure ongoing accountability, the document also defines recommended mechanisms for monitoring, auditing, and evaluating data usage, supported by a KPI framework. These elements are brought together through a set of governance procedures and protocols that clarify roles, access approval workflows, and oversight responsibilities for all stakeholders and intermediaries involved. The document concludes with evidence-based policy recommendations aimed at supporting the long-term and sustainable governance of dataspace.</w:t>
      </w:r>
    </w:p>
    <w:p w14:paraId="39A25E32" w14:textId="2943968C" w:rsidR="00F52AB4" w:rsidRPr="0050011A" w:rsidRDefault="00F52AB4" w:rsidP="00F52AB4">
      <w:pPr>
        <w:rPr>
          <w:rFonts w:cs="Arial"/>
        </w:rPr>
      </w:pPr>
      <w:r w:rsidRPr="0050011A">
        <w:rPr>
          <w:rFonts w:cs="Arial"/>
        </w:rPr>
        <w:t>This document is advisory in nature and does not cover the technical implementation of the dataspace infrastructure or any commercial and procurement decisions. It is intended to complement existing documentation</w:t>
      </w:r>
      <w:r w:rsidR="00123DEF" w:rsidRPr="0050011A">
        <w:rPr>
          <w:rFonts w:cs="Arial"/>
        </w:rPr>
        <w:t>,</w:t>
      </w:r>
      <w:r w:rsidRPr="0050011A">
        <w:rPr>
          <w:rFonts w:cs="Arial"/>
        </w:rPr>
        <w:t xml:space="preserve"> such as the DS4SSCC Blueprint Evolution.</w:t>
      </w:r>
      <w:bookmarkStart w:id="10" w:name="_Toc230347177"/>
    </w:p>
    <w:p w14:paraId="41DA3D2E" w14:textId="77777777" w:rsidR="003E2310" w:rsidRPr="0050011A" w:rsidRDefault="003E2310" w:rsidP="003E2310">
      <w:pPr>
        <w:pStyle w:val="Heading2"/>
        <w:rPr>
          <w:rFonts w:cs="Arial"/>
        </w:rPr>
      </w:pPr>
      <w:bookmarkStart w:id="11" w:name="_Toc1021227814"/>
      <w:r w:rsidRPr="54AD4DA9">
        <w:rPr>
          <w:rFonts w:cs="Arial"/>
        </w:rPr>
        <w:t>2.4 How This Document Relates to European Standards</w:t>
      </w:r>
      <w:bookmarkEnd w:id="10"/>
      <w:bookmarkEnd w:id="11"/>
    </w:p>
    <w:p w14:paraId="13A1E981"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This advisory document was not written in isolation from the broader European context. The recommendations are deliberately based on existing European legislation and standards, so that the Inzicht Verlicht dataspace is not only well-organised internally, but also aligns with what is expected of these kinds of initiatives at the European level. This section briefly explains which standards and legislation are relevant here. A more detailed legal analysis follows in section 4.</w:t>
      </w:r>
    </w:p>
    <w:p w14:paraId="4587B6B4"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The most important reference point for this document is the DS4SSCC Blueprint, published by the DS4SSCC-DEP consortium (Deliverable 2.3, Blueprint Evolution, 2025). This is the European governance model for smart city dataspaces and describes how dataspaces for smart communities can be set up responsibly, transparently and in a way that can grow over time. The Blueprint is the result of collaboration between European cities, research institutions and technology partners, and is recognised by the European Commission as the standard for this type of initiative. This advisory document builds on the Blueprint and applies it to the specific context of Inzicht Verlicht.</w:t>
      </w:r>
    </w:p>
    <w:p w14:paraId="0279041E"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In addition to the Blueprint, there are three European regulations that directly apply to the Inzicht Verlicht dataspace. The first is the General Data Protection Regulation (GDPR). Traffic and air quality data may not seem personal at first glance, but experience from similar DS4SSCC pilot projects shows that data teams do question this. Several pilots have indicated that even anonymised data can indirectly be traced back to individuals, which means a Data Protection Impact Assessment (DPIA) may still be needed. This risk is also present in the Inzicht Verlicht dataspace. The GDPR also sets requirements for how data is processed, by whom, and under what conditions, and that directly affects the governance described in this document.</w:t>
      </w:r>
    </w:p>
    <w:p w14:paraId="779F9583"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The second relevant regulation is the Data Governance Act (DGA). The DGA is designed to provide a framework for data sharing and covers, among other things, the requirements around independence and neutrality of parties that enable data sharing. This is directly relevant to the Inzicht Verlicht situation, where the Municipality of Eindhoven is both the data provider and the main data user. The DGA states that data intermediaries must operate in a neutral and transparent way, which has consequences for how roles are structured in this framework. Section 4.1 goes into this further.</w:t>
      </w:r>
    </w:p>
    <w:p w14:paraId="4037BFA6"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lastRenderedPageBreak/>
        <w:t>The third relevant regulation is the Data Act (DA), which determines who can get value from data and under what conditions. The DA is relevant when public parties want access to data generated by private parties, or when data is shared in the context of public tasks or emergency situations. In the context of Inzicht Verlicht, where data from the J.F. Kennedylaan is used for the municipality's traffic and environmental policy, this is an important point to keep in mind.</w:t>
      </w:r>
    </w:p>
    <w:p w14:paraId="35C013DB"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Finally, the NIS2 directive is relevant. NIS2 requires government bodies, including municipalities, to take cybersecurity measures. The DS4SSCC Blueprint is clear about this: the Governance Authority of a dataspace must put together a cybersecurity policy that consists of risk management, encryption and incident reporting procedures. This connects to the monitoring and incident response procedures described in sections 5.6 and 5.8 of this document.</w:t>
      </w:r>
    </w:p>
    <w:p w14:paraId="24C67627" w14:textId="77777777"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Alongside legislation, the FAIR principles and the CARE principles are also relevant as quality standards for data governance. The DS4SSCC Blueprint includes these principles as a starting point for data sharing within smart city dataspaces. What these principles mean and how they apply to Inzicht Verlicht is explained in section 4.4.</w:t>
      </w:r>
    </w:p>
    <w:p w14:paraId="6CAF757B" w14:textId="0A845B51" w:rsidR="00F106D0" w:rsidRPr="0050011A" w:rsidRDefault="00F106D0" w:rsidP="00F106D0">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In short</w:t>
      </w:r>
      <w:r w:rsidR="00920FDF">
        <w:rPr>
          <w:rFonts w:eastAsia="Times New Roman" w:cs="Arial"/>
          <w:kern w:val="0"/>
          <w:lang w:val="en-GB" w:eastAsia="nl-NL"/>
          <w14:ligatures w14:val="none"/>
        </w:rPr>
        <w:t>,</w:t>
      </w:r>
      <w:r w:rsidRPr="0050011A">
        <w:rPr>
          <w:rFonts w:eastAsia="Times New Roman" w:cs="Arial"/>
          <w:kern w:val="0"/>
          <w:lang w:val="en-GB" w:eastAsia="nl-NL"/>
          <w14:ligatures w14:val="none"/>
        </w:rPr>
        <w:t xml:space="preserve"> the recommendations in this document were not made up, but follow logically from existing European frameworks. That gives them a solid foundation, and it also makes this framework useful for other smart city projects working within the same legal and policy context.</w:t>
      </w:r>
    </w:p>
    <w:p w14:paraId="2D43420B" w14:textId="1C9717D2" w:rsidR="006104CE" w:rsidRPr="0050011A" w:rsidRDefault="008224BB" w:rsidP="003E2310">
      <w:pPr>
        <w:rPr>
          <w:rFonts w:cs="Arial"/>
          <w:color w:val="FF0000"/>
        </w:rPr>
      </w:pPr>
      <w:r w:rsidRPr="0050011A">
        <w:rPr>
          <w:rFonts w:cs="Arial"/>
          <w:color w:val="FF0000"/>
        </w:rPr>
        <w:br w:type="page"/>
      </w:r>
    </w:p>
    <w:p w14:paraId="3A90C5AA" w14:textId="236386C5" w:rsidR="00E612DD" w:rsidRPr="0050011A" w:rsidRDefault="00E612DD" w:rsidP="00E612DD">
      <w:pPr>
        <w:pStyle w:val="Heading1"/>
        <w:rPr>
          <w:rFonts w:cs="Arial"/>
        </w:rPr>
      </w:pPr>
      <w:bookmarkStart w:id="12" w:name="_Toc230347178"/>
      <w:bookmarkStart w:id="13" w:name="_Toc256632047"/>
      <w:r w:rsidRPr="54AD4DA9">
        <w:rPr>
          <w:rFonts w:cs="Arial"/>
        </w:rPr>
        <w:lastRenderedPageBreak/>
        <w:t xml:space="preserve">3. </w:t>
      </w:r>
      <w:r w:rsidR="00042B70" w:rsidRPr="54AD4DA9">
        <w:rPr>
          <w:rFonts w:cs="Arial"/>
        </w:rPr>
        <w:t>Current Situation and Gap Analysis</w:t>
      </w:r>
      <w:bookmarkEnd w:id="12"/>
      <w:bookmarkEnd w:id="13"/>
    </w:p>
    <w:p w14:paraId="53033D0C" w14:textId="77777777" w:rsidR="005457D9" w:rsidRPr="0050011A" w:rsidRDefault="005457D9" w:rsidP="005457D9">
      <w:pPr>
        <w:pStyle w:val="Heading2"/>
        <w:rPr>
          <w:rFonts w:cs="Arial"/>
        </w:rPr>
      </w:pPr>
      <w:bookmarkStart w:id="14" w:name="_Toc230347179"/>
      <w:bookmarkStart w:id="15" w:name="_Toc1401604481"/>
      <w:r w:rsidRPr="54AD4DA9">
        <w:rPr>
          <w:rFonts w:cs="Arial"/>
        </w:rPr>
        <w:t>3.1 What Is Currently in Place</w:t>
      </w:r>
      <w:bookmarkEnd w:id="14"/>
      <w:bookmarkEnd w:id="15"/>
    </w:p>
    <w:p w14:paraId="3F5FFFC8" w14:textId="77777777" w:rsidR="00A25B75" w:rsidRPr="0050011A" w:rsidRDefault="004D3F08" w:rsidP="005457D9">
      <w:pPr>
        <w:rPr>
          <w:rFonts w:cs="Arial"/>
          <w:lang w:val="en-GB"/>
        </w:rPr>
      </w:pPr>
      <w:r w:rsidRPr="0050011A">
        <w:rPr>
          <w:rFonts w:cs="Arial"/>
          <w:lang w:val="en-GB"/>
        </w:rPr>
        <w:t xml:space="preserve">The Inzicht Verlicht dataspace is </w:t>
      </w:r>
      <w:r w:rsidR="006273C3" w:rsidRPr="0050011A">
        <w:rPr>
          <w:rFonts w:cs="Arial"/>
          <w:lang w:val="en-GB"/>
        </w:rPr>
        <w:t xml:space="preserve">already has a foundation for governance in place. Several elements reflect a responsible approach, although they have not yet been translated into </w:t>
      </w:r>
      <w:r w:rsidR="00A25B75" w:rsidRPr="0050011A">
        <w:rPr>
          <w:rFonts w:cs="Arial"/>
          <w:lang w:val="en-GB"/>
        </w:rPr>
        <w:t xml:space="preserve">enforceable procedures. </w:t>
      </w:r>
    </w:p>
    <w:p w14:paraId="5F6FCC3A" w14:textId="0D886915" w:rsidR="0011467E" w:rsidRPr="0050011A" w:rsidRDefault="000F3DC2" w:rsidP="000F3DC2">
      <w:pPr>
        <w:pStyle w:val="Heading3"/>
        <w:rPr>
          <w:rFonts w:cs="Arial"/>
          <w:lang w:val="en-GB"/>
        </w:rPr>
      </w:pPr>
      <w:bookmarkStart w:id="16" w:name="_Toc1282565765"/>
      <w:r w:rsidRPr="54AD4DA9">
        <w:rPr>
          <w:rFonts w:cs="Arial"/>
          <w:lang w:val="en-GB"/>
        </w:rPr>
        <w:t>3.1.1 Technical Infrastructure</w:t>
      </w:r>
      <w:bookmarkEnd w:id="16"/>
      <w:r w:rsidR="00C41CDA" w:rsidRPr="54AD4DA9">
        <w:rPr>
          <w:rFonts w:cs="Arial"/>
          <w:lang w:val="en-GB"/>
        </w:rPr>
        <w:t xml:space="preserve"> </w:t>
      </w:r>
    </w:p>
    <w:p w14:paraId="5F54260F" w14:textId="5F3BC80A" w:rsidR="009C51AE" w:rsidRPr="0050011A" w:rsidRDefault="006F1CD3" w:rsidP="00502C14">
      <w:pPr>
        <w:rPr>
          <w:rFonts w:cs="Arial"/>
          <w:lang w:val="en-GB"/>
        </w:rPr>
      </w:pPr>
      <w:r w:rsidRPr="0050011A">
        <w:rPr>
          <w:rFonts w:cs="Arial"/>
          <w:lang w:val="en-GB"/>
        </w:rPr>
        <w:t xml:space="preserve">A robust technical infrastructure is already in place. Sensor data from the J.F. Kennedylaan intersection is collected, processed and made available through a FIWARE-based architecture. This architecture incorporates a </w:t>
      </w:r>
      <w:r w:rsidR="00750D49" w:rsidRPr="0050011A">
        <w:rPr>
          <w:rFonts w:cs="Arial"/>
          <w:lang w:val="en-GB"/>
        </w:rPr>
        <w:t>Context Broker for semantic data exchange, QuantumLeap and CrateDB for time-series data storage</w:t>
      </w:r>
      <w:r w:rsidR="00920FDF">
        <w:rPr>
          <w:rFonts w:cs="Arial"/>
          <w:lang w:val="en-GB"/>
        </w:rPr>
        <w:t>,</w:t>
      </w:r>
      <w:r w:rsidR="00750D49" w:rsidRPr="0050011A">
        <w:rPr>
          <w:rFonts w:cs="Arial"/>
          <w:lang w:val="en-GB"/>
        </w:rPr>
        <w:t xml:space="preserve"> and APISIX as an API gateway. Ident</w:t>
      </w:r>
      <w:r w:rsidR="00EC6FB7" w:rsidRPr="0050011A">
        <w:rPr>
          <w:rFonts w:cs="Arial"/>
          <w:lang w:val="en-GB"/>
        </w:rPr>
        <w:t>ity and access management are supported by Keycloak and OPA</w:t>
      </w:r>
      <w:r w:rsidR="00920FDF">
        <w:rPr>
          <w:rFonts w:cs="Arial"/>
          <w:lang w:val="en-GB"/>
        </w:rPr>
        <w:t>,</w:t>
      </w:r>
      <w:r w:rsidR="00EC6FB7" w:rsidRPr="0050011A">
        <w:rPr>
          <w:rFonts w:cs="Arial"/>
          <w:lang w:val="en-GB"/>
        </w:rPr>
        <w:t xml:space="preserve"> and ODRL provide mechanisms for policy enforcement. As documented by the previous project group, the </w:t>
      </w:r>
      <w:r w:rsidR="00920FDF">
        <w:rPr>
          <w:rFonts w:cs="Arial"/>
          <w:lang w:val="en-GB"/>
        </w:rPr>
        <w:t>selection</w:t>
      </w:r>
      <w:r w:rsidR="00EC6FB7" w:rsidRPr="0050011A">
        <w:rPr>
          <w:rFonts w:cs="Arial"/>
          <w:lang w:val="en-GB"/>
        </w:rPr>
        <w:t xml:space="preserve"> of these open, standard-based technologies reflects a conscious effort to align the dataspace with the DS4SSCC technical framework. </w:t>
      </w:r>
    </w:p>
    <w:p w14:paraId="4B0062B4" w14:textId="425892BE" w:rsidR="000F3DC2" w:rsidRPr="0050011A" w:rsidRDefault="00337850" w:rsidP="00502C14">
      <w:pPr>
        <w:pStyle w:val="Heading3"/>
        <w:rPr>
          <w:rFonts w:cs="Arial"/>
          <w:lang w:val="en-GB"/>
        </w:rPr>
      </w:pPr>
      <w:bookmarkStart w:id="17" w:name="_Toc958288230"/>
      <w:r w:rsidRPr="54AD4DA9">
        <w:rPr>
          <w:rFonts w:cs="Arial"/>
          <w:lang w:val="en-GB"/>
        </w:rPr>
        <w:t>3.1.2 Data Security and Privacy Plan</w:t>
      </w:r>
      <w:bookmarkEnd w:id="17"/>
    </w:p>
    <w:p w14:paraId="1023FBAB" w14:textId="7450E2AC" w:rsidR="00244025" w:rsidRPr="0050011A" w:rsidRDefault="00C464B4" w:rsidP="00502C14">
      <w:pPr>
        <w:rPr>
          <w:rFonts w:cs="Arial"/>
          <w:lang w:val="en-GB"/>
        </w:rPr>
      </w:pPr>
      <w:r w:rsidRPr="0050011A">
        <w:rPr>
          <w:rFonts w:cs="Arial"/>
          <w:lang w:val="en-GB"/>
        </w:rPr>
        <w:t xml:space="preserve">The previous project group developed a data security and privacy plan that provides a framework for managing data security throughout the data life cycle. </w:t>
      </w:r>
      <w:r w:rsidR="00244025" w:rsidRPr="0050011A">
        <w:rPr>
          <w:rFonts w:cs="Arial"/>
          <w:lang w:val="en-GB"/>
        </w:rPr>
        <w:t xml:space="preserve">The plan follows a five-phase approach: </w:t>
      </w:r>
      <w:r w:rsidR="00983119" w:rsidRPr="0050011A">
        <w:rPr>
          <w:rFonts w:cs="Arial"/>
          <w:lang w:val="en-GB"/>
        </w:rPr>
        <w:t xml:space="preserve">Plan, design, prepare, collect </w:t>
      </w:r>
      <w:r w:rsidR="00716F96" w:rsidRPr="0050011A">
        <w:rPr>
          <w:rFonts w:cs="Arial"/>
          <w:lang w:val="en-GB"/>
        </w:rPr>
        <w:t>&amp;</w:t>
      </w:r>
      <w:r w:rsidR="00983119" w:rsidRPr="0050011A">
        <w:rPr>
          <w:rFonts w:cs="Arial"/>
          <w:lang w:val="en-GB"/>
        </w:rPr>
        <w:t xml:space="preserve"> analyse</w:t>
      </w:r>
      <w:r w:rsidR="00716F96" w:rsidRPr="0050011A">
        <w:rPr>
          <w:rFonts w:cs="Arial"/>
          <w:lang w:val="en-GB"/>
        </w:rPr>
        <w:t xml:space="preserve"> and share. </w:t>
      </w:r>
      <w:r w:rsidR="009C28A4" w:rsidRPr="0050011A">
        <w:rPr>
          <w:rFonts w:cs="Arial"/>
          <w:lang w:val="en-GB"/>
        </w:rPr>
        <w:t xml:space="preserve">It </w:t>
      </w:r>
      <w:r w:rsidR="008F3F12" w:rsidRPr="0050011A">
        <w:rPr>
          <w:rFonts w:cs="Arial"/>
          <w:lang w:val="en-GB"/>
        </w:rPr>
        <w:t xml:space="preserve">draws on recognised standards and frameworks (including  ISO 27001, </w:t>
      </w:r>
      <w:r w:rsidR="00920FDF">
        <w:rPr>
          <w:rFonts w:cs="Arial"/>
          <w:lang w:val="en-GB"/>
        </w:rPr>
        <w:t>NIST</w:t>
      </w:r>
      <w:r w:rsidR="00B8165E" w:rsidRPr="0050011A">
        <w:rPr>
          <w:rFonts w:cs="Arial"/>
          <w:lang w:val="en-GB"/>
        </w:rPr>
        <w:t xml:space="preserve"> Cybersecurity Framework, </w:t>
      </w:r>
      <w:r w:rsidR="0019757A" w:rsidRPr="0050011A">
        <w:rPr>
          <w:rFonts w:cs="Arial"/>
          <w:lang w:val="en-GB"/>
        </w:rPr>
        <w:t xml:space="preserve">Dutch Baseline Information Security of Government). It </w:t>
      </w:r>
      <w:r w:rsidR="009B28DB" w:rsidRPr="0050011A">
        <w:rPr>
          <w:rFonts w:cs="Arial"/>
          <w:lang w:val="en-GB"/>
        </w:rPr>
        <w:t>identifies relevant security domains such as access control, network security, cryptography and application security. It maps these to both organisational and technical requirements. For privacy specifically, the plan references GDPR as the leading framework</w:t>
      </w:r>
      <w:r w:rsidR="00920FDF">
        <w:rPr>
          <w:rFonts w:cs="Arial"/>
          <w:lang w:val="en-GB"/>
        </w:rPr>
        <w:t>,</w:t>
      </w:r>
      <w:r w:rsidR="009B28DB" w:rsidRPr="0050011A">
        <w:rPr>
          <w:rFonts w:cs="Arial"/>
          <w:lang w:val="en-GB"/>
        </w:rPr>
        <w:t xml:space="preserve"> </w:t>
      </w:r>
      <w:r w:rsidR="007A4634" w:rsidRPr="0050011A">
        <w:rPr>
          <w:rFonts w:cs="Arial"/>
          <w:lang w:val="en-GB"/>
        </w:rPr>
        <w:t xml:space="preserve">and it identifies obligations </w:t>
      </w:r>
      <w:r w:rsidR="0008260E" w:rsidRPr="0050011A">
        <w:rPr>
          <w:rFonts w:cs="Arial"/>
          <w:lang w:val="en-GB"/>
        </w:rPr>
        <w:t>including legal basis, purpose limitation, data minimisation and data subject rights.</w:t>
      </w:r>
      <w:r w:rsidR="0019757A" w:rsidRPr="0050011A">
        <w:rPr>
          <w:rFonts w:cs="Arial"/>
          <w:lang w:val="en-GB"/>
        </w:rPr>
        <w:t xml:space="preserve"> </w:t>
      </w:r>
    </w:p>
    <w:p w14:paraId="04BCDB72" w14:textId="2D227786" w:rsidR="00337850" w:rsidRPr="0050011A" w:rsidRDefault="00337850" w:rsidP="00502C14">
      <w:pPr>
        <w:pStyle w:val="Heading3"/>
        <w:rPr>
          <w:rFonts w:cs="Arial"/>
          <w:lang w:val="en-GB"/>
        </w:rPr>
      </w:pPr>
      <w:bookmarkStart w:id="18" w:name="_Toc1546022507"/>
      <w:r w:rsidRPr="54AD4DA9">
        <w:rPr>
          <w:rFonts w:cs="Arial"/>
          <w:lang w:val="en-GB"/>
        </w:rPr>
        <w:t>3.1.3 Anonymisation Approach</w:t>
      </w:r>
      <w:bookmarkEnd w:id="18"/>
    </w:p>
    <w:p w14:paraId="4C6D8096" w14:textId="44747959" w:rsidR="0008260E" w:rsidRPr="0050011A" w:rsidRDefault="00D247C3" w:rsidP="0008260E">
      <w:pPr>
        <w:rPr>
          <w:rFonts w:cs="Arial"/>
          <w:lang w:val="en-GB"/>
        </w:rPr>
      </w:pPr>
      <w:r w:rsidRPr="0050011A">
        <w:rPr>
          <w:rFonts w:cs="Arial"/>
          <w:lang w:val="en-GB"/>
        </w:rPr>
        <w:t>The use of anonymised sensor data demonstrates a proactive approach to privacy protection. The project</w:t>
      </w:r>
      <w:r w:rsidR="00E04B59" w:rsidRPr="0050011A">
        <w:rPr>
          <w:rFonts w:cs="Arial"/>
          <w:lang w:val="en-GB"/>
        </w:rPr>
        <w:t xml:space="preserve"> avoids the </w:t>
      </w:r>
      <w:r w:rsidR="00CE155A" w:rsidRPr="0050011A">
        <w:rPr>
          <w:rFonts w:cs="Arial"/>
          <w:lang w:val="en-GB"/>
        </w:rPr>
        <w:t>collection</w:t>
      </w:r>
      <w:r w:rsidR="00E04B59" w:rsidRPr="0050011A">
        <w:rPr>
          <w:rFonts w:cs="Arial"/>
          <w:lang w:val="en-GB"/>
        </w:rPr>
        <w:t xml:space="preserve"> of personally identifiable information</w:t>
      </w:r>
      <w:r w:rsidR="00B962A7" w:rsidRPr="0050011A">
        <w:rPr>
          <w:rFonts w:cs="Arial"/>
          <w:lang w:val="en-GB"/>
        </w:rPr>
        <w:t>, this way</w:t>
      </w:r>
      <w:r w:rsidR="00920FDF">
        <w:rPr>
          <w:rFonts w:cs="Arial"/>
          <w:lang w:val="en-GB"/>
        </w:rPr>
        <w:t>,</w:t>
      </w:r>
      <w:r w:rsidR="00B962A7" w:rsidRPr="0050011A">
        <w:rPr>
          <w:rFonts w:cs="Arial"/>
          <w:lang w:val="en-GB"/>
        </w:rPr>
        <w:t xml:space="preserve"> it demonstrates a privacy-by-design approach in which privacy </w:t>
      </w:r>
      <w:r w:rsidR="00B90C5A" w:rsidRPr="0050011A">
        <w:rPr>
          <w:rFonts w:cs="Arial"/>
          <w:lang w:val="en-GB"/>
        </w:rPr>
        <w:t>consideratio</w:t>
      </w:r>
      <w:r w:rsidR="000F5CF2" w:rsidRPr="0050011A">
        <w:rPr>
          <w:rFonts w:cs="Arial"/>
          <w:lang w:val="en-GB"/>
        </w:rPr>
        <w:t xml:space="preserve">ns are embedded into the system’s design. In addition, the </w:t>
      </w:r>
      <w:r w:rsidR="00AC3306" w:rsidRPr="0050011A">
        <w:rPr>
          <w:rFonts w:cs="Arial"/>
          <w:lang w:val="en-GB"/>
        </w:rPr>
        <w:t xml:space="preserve">integration of ODRL-based usage policies within the technical architecture reflects </w:t>
      </w:r>
      <w:r w:rsidR="00483732" w:rsidRPr="0050011A">
        <w:rPr>
          <w:rFonts w:cs="Arial"/>
          <w:lang w:val="en-GB"/>
        </w:rPr>
        <w:t xml:space="preserve">an effort to regulate data access and ensure </w:t>
      </w:r>
      <w:r w:rsidR="009304F2" w:rsidRPr="0050011A">
        <w:rPr>
          <w:rFonts w:cs="Arial"/>
          <w:lang w:val="en-GB"/>
        </w:rPr>
        <w:t xml:space="preserve">that data is used only for authorised purposes. </w:t>
      </w:r>
    </w:p>
    <w:p w14:paraId="03F6C943" w14:textId="14A45581" w:rsidR="00337850" w:rsidRPr="0050011A" w:rsidRDefault="00502C14" w:rsidP="00502C14">
      <w:pPr>
        <w:pStyle w:val="Heading3"/>
        <w:rPr>
          <w:rFonts w:cs="Arial"/>
          <w:lang w:val="en-GB"/>
        </w:rPr>
      </w:pPr>
      <w:bookmarkStart w:id="19" w:name="_Toc1560503239"/>
      <w:r w:rsidRPr="54AD4DA9">
        <w:rPr>
          <w:rFonts w:cs="Arial"/>
          <w:lang w:val="en-GB"/>
        </w:rPr>
        <w:t xml:space="preserve">3.1.4 What is </w:t>
      </w:r>
      <w:r w:rsidR="00B427C1" w:rsidRPr="54AD4DA9">
        <w:rPr>
          <w:rFonts w:cs="Arial"/>
          <w:lang w:val="en-GB"/>
        </w:rPr>
        <w:t>s</w:t>
      </w:r>
      <w:r w:rsidRPr="54AD4DA9">
        <w:rPr>
          <w:rFonts w:cs="Arial"/>
          <w:lang w:val="en-GB"/>
        </w:rPr>
        <w:t>till missing</w:t>
      </w:r>
      <w:bookmarkEnd w:id="19"/>
    </w:p>
    <w:p w14:paraId="3640311E" w14:textId="77D99602" w:rsidR="00E85192" w:rsidRPr="0050011A" w:rsidRDefault="00B50ECE" w:rsidP="00E85192">
      <w:pPr>
        <w:rPr>
          <w:rFonts w:cs="Arial"/>
          <w:lang w:val="en-GB"/>
        </w:rPr>
      </w:pPr>
      <w:r w:rsidRPr="0050011A">
        <w:rPr>
          <w:rFonts w:cs="Arial"/>
          <w:lang w:val="en-GB"/>
        </w:rPr>
        <w:t xml:space="preserve">The main challenge is not a lack of ethical awareness or responsible intent, but a lack of formalisation. While the privacy plan outlines the assessments that should be </w:t>
      </w:r>
      <w:r w:rsidR="00920FDF">
        <w:rPr>
          <w:rFonts w:cs="Arial"/>
          <w:lang w:val="en-GB"/>
        </w:rPr>
        <w:t>conducted</w:t>
      </w:r>
      <w:r w:rsidRPr="0050011A">
        <w:rPr>
          <w:rFonts w:cs="Arial"/>
          <w:lang w:val="en-GB"/>
        </w:rPr>
        <w:t xml:space="preserve">, it does not clearly define when they should take place, who is responsible for carrying them out or how the outcomes should be documented and acted upon. </w:t>
      </w:r>
      <w:r w:rsidR="00A63F85" w:rsidRPr="0050011A">
        <w:rPr>
          <w:rFonts w:cs="Arial"/>
          <w:lang w:val="en-GB"/>
        </w:rPr>
        <w:t xml:space="preserve">Similarly to this, technical access control mechanisms are already implemented, yet they are not supported by formal agreements that assign responsibilities and obligations in a legal way. </w:t>
      </w:r>
      <w:r w:rsidR="00A03BE6" w:rsidRPr="0050011A">
        <w:rPr>
          <w:rFonts w:cs="Arial"/>
          <w:lang w:val="en-GB"/>
        </w:rPr>
        <w:t>Although data is anonymised, the effectiveness of this approach has not been evaluated against potential re-identification risks. These observations do not suggest an absence of governance</w:t>
      </w:r>
      <w:r w:rsidR="00063965" w:rsidRPr="0050011A">
        <w:rPr>
          <w:rFonts w:cs="Arial"/>
          <w:lang w:val="en-GB"/>
        </w:rPr>
        <w:t xml:space="preserve">, rather, they indicate that existing governance principles and intentions have not yet been translated into enforceable structures. The following sections build upon this foundation and </w:t>
      </w:r>
      <w:r w:rsidR="00F148B0">
        <w:rPr>
          <w:rFonts w:cs="Arial"/>
          <w:lang w:val="en-GB"/>
        </w:rPr>
        <w:t>propose</w:t>
      </w:r>
      <w:r w:rsidR="00063965" w:rsidRPr="0050011A">
        <w:rPr>
          <w:rFonts w:cs="Arial"/>
          <w:lang w:val="en-GB"/>
        </w:rPr>
        <w:t xml:space="preserve"> measures to address these remaining gaps. </w:t>
      </w:r>
    </w:p>
    <w:p w14:paraId="308A8A1B" w14:textId="46C010B0" w:rsidR="005457D9" w:rsidRPr="0050011A" w:rsidRDefault="005457D9" w:rsidP="005457D9">
      <w:pPr>
        <w:pStyle w:val="Heading2"/>
        <w:rPr>
          <w:rFonts w:cs="Arial"/>
        </w:rPr>
      </w:pPr>
      <w:bookmarkStart w:id="20" w:name="_Toc230347180"/>
      <w:bookmarkStart w:id="21" w:name="_Toc334573103"/>
      <w:r w:rsidRPr="54AD4DA9">
        <w:rPr>
          <w:rFonts w:cs="Arial"/>
        </w:rPr>
        <w:t>3.2 Identified Governance Gaps</w:t>
      </w:r>
      <w:bookmarkEnd w:id="20"/>
      <w:bookmarkEnd w:id="21"/>
    </w:p>
    <w:p w14:paraId="515F7D8D" w14:textId="71678A46" w:rsidR="00FC5692" w:rsidRPr="0050011A" w:rsidRDefault="002562EE" w:rsidP="005457D9">
      <w:pPr>
        <w:rPr>
          <w:rFonts w:cs="Arial"/>
        </w:rPr>
      </w:pPr>
      <w:r w:rsidRPr="0050011A">
        <w:rPr>
          <w:rFonts w:cs="Arial"/>
        </w:rPr>
        <w:t xml:space="preserve">Based on the research done for Question 4 in the Research Document, the following gaps have been identified in the current governance framework of the Inzicht Verlicht dataspace. These gaps </w:t>
      </w:r>
      <w:r w:rsidRPr="0050011A">
        <w:rPr>
          <w:rFonts w:cs="Arial"/>
        </w:rPr>
        <w:lastRenderedPageBreak/>
        <w:t>represent concrete areas where existing documentation falls short of what is required</w:t>
      </w:r>
      <w:r w:rsidR="000C2DBB" w:rsidRPr="0050011A">
        <w:rPr>
          <w:rFonts w:cs="Arial"/>
        </w:rPr>
        <w:t xml:space="preserve"> by applicable policy frameworks and responsi</w:t>
      </w:r>
      <w:r w:rsidR="00230029" w:rsidRPr="0050011A">
        <w:rPr>
          <w:rFonts w:cs="Arial"/>
        </w:rPr>
        <w:t xml:space="preserve">ble </w:t>
      </w:r>
      <w:r w:rsidR="00473972" w:rsidRPr="0050011A">
        <w:rPr>
          <w:rFonts w:cs="Arial"/>
        </w:rPr>
        <w:t xml:space="preserve">data practice. Each gap is presented as </w:t>
      </w:r>
      <w:r w:rsidR="000347D0" w:rsidRPr="0050011A">
        <w:rPr>
          <w:rFonts w:cs="Arial"/>
        </w:rPr>
        <w:t>a specific point of attention for the governance design recommendations that follow.</w:t>
      </w:r>
    </w:p>
    <w:p w14:paraId="4F29F020" w14:textId="7F387C12" w:rsidR="007762FF" w:rsidRPr="0050011A" w:rsidRDefault="0099762D" w:rsidP="0099762D">
      <w:pPr>
        <w:pStyle w:val="Heading3"/>
        <w:rPr>
          <w:rFonts w:cs="Arial"/>
        </w:rPr>
      </w:pPr>
      <w:bookmarkStart w:id="22" w:name="_Toc1513039052"/>
      <w:r w:rsidRPr="54AD4DA9">
        <w:rPr>
          <w:rFonts w:cs="Arial"/>
        </w:rPr>
        <w:t xml:space="preserve">3.2.1 </w:t>
      </w:r>
      <w:r w:rsidR="004A1CD6" w:rsidRPr="54AD4DA9">
        <w:rPr>
          <w:rFonts w:cs="Arial"/>
        </w:rPr>
        <w:t>Undefined Roles a</w:t>
      </w:r>
      <w:r w:rsidR="00B4552B" w:rsidRPr="54AD4DA9">
        <w:rPr>
          <w:rFonts w:cs="Arial"/>
        </w:rPr>
        <w:t>nd Responsibilities</w:t>
      </w:r>
      <w:bookmarkEnd w:id="22"/>
    </w:p>
    <w:p w14:paraId="23AFFE7A" w14:textId="75D4988B" w:rsidR="00B4552B" w:rsidRPr="0050011A" w:rsidRDefault="008702A3" w:rsidP="0099762D">
      <w:pPr>
        <w:rPr>
          <w:rFonts w:cs="Arial"/>
        </w:rPr>
      </w:pPr>
      <w:r w:rsidRPr="0050011A">
        <w:rPr>
          <w:rFonts w:cs="Arial"/>
        </w:rPr>
        <w:t xml:space="preserve">Although </w:t>
      </w:r>
      <w:r w:rsidR="009A394B" w:rsidRPr="0050011A">
        <w:rPr>
          <w:rFonts w:cs="Arial"/>
        </w:rPr>
        <w:t>the Blueprint Evolution identifies broad actor categories</w:t>
      </w:r>
      <w:r w:rsidR="000903C4" w:rsidRPr="0050011A">
        <w:rPr>
          <w:rFonts w:cs="Arial"/>
        </w:rPr>
        <w:t>, part</w:t>
      </w:r>
      <w:r w:rsidR="00B773DE" w:rsidRPr="0050011A">
        <w:rPr>
          <w:rFonts w:cs="Arial"/>
        </w:rPr>
        <w:t>icipatory, intermediary</w:t>
      </w:r>
      <w:r w:rsidR="00901BDF" w:rsidRPr="0050011A">
        <w:rPr>
          <w:rFonts w:cs="Arial"/>
        </w:rPr>
        <w:t>, and gover</w:t>
      </w:r>
      <w:r w:rsidR="004370DE" w:rsidRPr="0050011A">
        <w:rPr>
          <w:rFonts w:cs="Arial"/>
        </w:rPr>
        <w:t>n</w:t>
      </w:r>
      <w:r w:rsidR="00901BDF" w:rsidRPr="0050011A">
        <w:rPr>
          <w:rFonts w:cs="Arial"/>
        </w:rPr>
        <w:t>ing</w:t>
      </w:r>
      <w:r w:rsidR="00706833" w:rsidRPr="0050011A">
        <w:rPr>
          <w:rFonts w:cs="Arial"/>
        </w:rPr>
        <w:t xml:space="preserve">, it </w:t>
      </w:r>
      <w:r w:rsidR="004370DE" w:rsidRPr="0050011A">
        <w:rPr>
          <w:rFonts w:cs="Arial"/>
        </w:rPr>
        <w:t xml:space="preserve">does not define what each role is concretely </w:t>
      </w:r>
      <w:r w:rsidR="00316166" w:rsidRPr="0050011A">
        <w:rPr>
          <w:rFonts w:cs="Arial"/>
        </w:rPr>
        <w:t xml:space="preserve">responsible for during day-to-day data </w:t>
      </w:r>
      <w:r w:rsidR="00E13598" w:rsidRPr="0050011A">
        <w:rPr>
          <w:rFonts w:cs="Arial"/>
        </w:rPr>
        <w:t xml:space="preserve">exchange. This creates </w:t>
      </w:r>
      <w:r w:rsidR="00B6537E" w:rsidRPr="0050011A">
        <w:rPr>
          <w:rFonts w:cs="Arial"/>
        </w:rPr>
        <w:t>doubt around accountability, particularly for intermediaries whose obligations in practice remain largely unspecified.</w:t>
      </w:r>
    </w:p>
    <w:p w14:paraId="5CC218B3" w14:textId="28A6AEE4" w:rsidR="00B6537E" w:rsidRPr="0050011A" w:rsidRDefault="0099762D" w:rsidP="0099762D">
      <w:pPr>
        <w:pStyle w:val="Heading3"/>
        <w:rPr>
          <w:rFonts w:cs="Arial"/>
        </w:rPr>
      </w:pPr>
      <w:bookmarkStart w:id="23" w:name="_Toc559889889"/>
      <w:r w:rsidRPr="54AD4DA9">
        <w:rPr>
          <w:rFonts w:cs="Arial"/>
        </w:rPr>
        <w:t xml:space="preserve">3.2.2 </w:t>
      </w:r>
      <w:r w:rsidR="00B6537E" w:rsidRPr="54AD4DA9">
        <w:rPr>
          <w:rFonts w:cs="Arial"/>
        </w:rPr>
        <w:t>Absence of Ongoing Audit Trails</w:t>
      </w:r>
      <w:bookmarkEnd w:id="23"/>
    </w:p>
    <w:p w14:paraId="6CD4F5A7" w14:textId="129F4412" w:rsidR="00B6537E" w:rsidRPr="0050011A" w:rsidRDefault="00B6537E" w:rsidP="0099762D">
      <w:pPr>
        <w:rPr>
          <w:rFonts w:cs="Arial"/>
        </w:rPr>
      </w:pPr>
      <w:r w:rsidRPr="0050011A">
        <w:rPr>
          <w:rFonts w:cs="Arial"/>
        </w:rPr>
        <w:t>Current monitoring provisions are limited to API-key tracking at the point of onboarding. No mechanism exists for conti</w:t>
      </w:r>
      <w:r w:rsidR="00913B57" w:rsidRPr="0050011A">
        <w:rPr>
          <w:rFonts w:cs="Arial"/>
        </w:rPr>
        <w:t xml:space="preserve">nuously logging data access, reuse, or downstream </w:t>
      </w:r>
      <w:r w:rsidR="00A53FF1" w:rsidRPr="0050011A">
        <w:rPr>
          <w:rFonts w:cs="Arial"/>
        </w:rPr>
        <w:t xml:space="preserve">usage across the </w:t>
      </w:r>
      <w:r w:rsidR="0098527B" w:rsidRPr="0050011A">
        <w:rPr>
          <w:rFonts w:cs="Arial"/>
        </w:rPr>
        <w:t>dataspace</w:t>
      </w:r>
      <w:r w:rsidR="001007CC" w:rsidRPr="0050011A">
        <w:rPr>
          <w:rFonts w:cs="Arial"/>
        </w:rPr>
        <w:t xml:space="preserve"> lifecycle</w:t>
      </w:r>
      <w:r w:rsidR="00057677" w:rsidRPr="0050011A">
        <w:rPr>
          <w:rFonts w:cs="Arial"/>
        </w:rPr>
        <w:t>. This makes it impossible to</w:t>
      </w:r>
      <w:r w:rsidR="0014791F" w:rsidRPr="0050011A">
        <w:rPr>
          <w:rFonts w:cs="Arial"/>
        </w:rPr>
        <w:t xml:space="preserve"> verify, after the fact, whether data has been used in accordance with agreed conditions.</w:t>
      </w:r>
    </w:p>
    <w:p w14:paraId="2A295032" w14:textId="6D2A0BBF" w:rsidR="0014791F" w:rsidRPr="0050011A" w:rsidRDefault="0099762D" w:rsidP="0099762D">
      <w:pPr>
        <w:pStyle w:val="Heading3"/>
        <w:rPr>
          <w:rFonts w:cs="Arial"/>
        </w:rPr>
      </w:pPr>
      <w:bookmarkStart w:id="24" w:name="_Toc1289470549"/>
      <w:r w:rsidRPr="54AD4DA9">
        <w:rPr>
          <w:rFonts w:cs="Arial"/>
        </w:rPr>
        <w:t xml:space="preserve">3.2.3 </w:t>
      </w:r>
      <w:r w:rsidR="0014791F" w:rsidRPr="54AD4DA9">
        <w:rPr>
          <w:rFonts w:cs="Arial"/>
        </w:rPr>
        <w:t>No Operat</w:t>
      </w:r>
      <w:r w:rsidR="00327E2F" w:rsidRPr="54AD4DA9">
        <w:rPr>
          <w:rFonts w:cs="Arial"/>
        </w:rPr>
        <w:t>ion</w:t>
      </w:r>
      <w:r w:rsidR="00957FF9" w:rsidRPr="54AD4DA9">
        <w:rPr>
          <w:rFonts w:cs="Arial"/>
        </w:rPr>
        <w:t xml:space="preserve">alized </w:t>
      </w:r>
      <w:r w:rsidR="007741DC" w:rsidRPr="54AD4DA9">
        <w:rPr>
          <w:rFonts w:cs="Arial"/>
        </w:rPr>
        <w:t>Ethics Review Process</w:t>
      </w:r>
      <w:bookmarkEnd w:id="24"/>
    </w:p>
    <w:p w14:paraId="3F9FB828" w14:textId="7217EDC0" w:rsidR="007741DC" w:rsidRPr="0050011A" w:rsidRDefault="007741DC" w:rsidP="0099762D">
      <w:pPr>
        <w:rPr>
          <w:rFonts w:cs="Arial"/>
        </w:rPr>
      </w:pPr>
      <w:r w:rsidRPr="0050011A">
        <w:rPr>
          <w:rFonts w:cs="Arial"/>
        </w:rPr>
        <w:t xml:space="preserve">Ethical frameworks such as ALTAI, FRAIA, and Principlism are referenced in the Blueprint but have not been translated into actionable </w:t>
      </w:r>
      <w:r w:rsidR="00B03C2D" w:rsidRPr="0050011A">
        <w:rPr>
          <w:rFonts w:cs="Arial"/>
        </w:rPr>
        <w:t>procedures</w:t>
      </w:r>
      <w:r w:rsidR="00A40743" w:rsidRPr="0050011A">
        <w:rPr>
          <w:rFonts w:cs="Arial"/>
        </w:rPr>
        <w:t>. No per-pilot ethics assessment has been completed</w:t>
      </w:r>
      <w:r w:rsidR="006F3B55" w:rsidRPr="0050011A">
        <w:rPr>
          <w:rFonts w:cs="Arial"/>
        </w:rPr>
        <w:t>, and no structured review process exists to ensure ethical considerations are evaluated before or during data use.</w:t>
      </w:r>
    </w:p>
    <w:p w14:paraId="3A64762B" w14:textId="7AA6500F" w:rsidR="006F3B55" w:rsidRPr="0050011A" w:rsidRDefault="0099762D" w:rsidP="0099762D">
      <w:pPr>
        <w:pStyle w:val="Heading3"/>
        <w:rPr>
          <w:rFonts w:cs="Arial"/>
        </w:rPr>
      </w:pPr>
      <w:bookmarkStart w:id="25" w:name="_Toc1985162642"/>
      <w:r w:rsidRPr="54AD4DA9">
        <w:rPr>
          <w:rFonts w:cs="Arial"/>
        </w:rPr>
        <w:t xml:space="preserve">3.2.4 </w:t>
      </w:r>
      <w:r w:rsidR="00612F67" w:rsidRPr="54AD4DA9">
        <w:rPr>
          <w:rFonts w:cs="Arial"/>
        </w:rPr>
        <w:t xml:space="preserve">No </w:t>
      </w:r>
      <w:r w:rsidR="002C6EFE" w:rsidRPr="54AD4DA9">
        <w:rPr>
          <w:rFonts w:cs="Arial"/>
        </w:rPr>
        <w:t>Re-identification Risk Procedure</w:t>
      </w:r>
      <w:bookmarkEnd w:id="25"/>
    </w:p>
    <w:p w14:paraId="0142DE1A" w14:textId="23A99257" w:rsidR="002C6EFE" w:rsidRPr="0050011A" w:rsidRDefault="002C6EFE" w:rsidP="0099762D">
      <w:pPr>
        <w:rPr>
          <w:rFonts w:cs="Arial"/>
        </w:rPr>
      </w:pPr>
      <w:r w:rsidRPr="0050011A">
        <w:rPr>
          <w:rFonts w:cs="Arial"/>
        </w:rPr>
        <w:t xml:space="preserve">While the blueprint acknowledges the risk of re-identification, it provides no protocol </w:t>
      </w:r>
      <w:r w:rsidR="00E052DE" w:rsidRPr="0050011A">
        <w:rPr>
          <w:rFonts w:cs="Arial"/>
        </w:rPr>
        <w:t>for detecting</w:t>
      </w:r>
      <w:r w:rsidR="00DC5687" w:rsidRPr="0050011A">
        <w:rPr>
          <w:rFonts w:cs="Arial"/>
        </w:rPr>
        <w:t xml:space="preserve">, responding to, or proactively </w:t>
      </w:r>
      <w:r w:rsidR="00094F1D" w:rsidRPr="0050011A">
        <w:rPr>
          <w:rFonts w:cs="Arial"/>
        </w:rPr>
        <w:t xml:space="preserve">preventing it. </w:t>
      </w:r>
      <w:r w:rsidR="008175A0" w:rsidRPr="0050011A">
        <w:rPr>
          <w:rFonts w:cs="Arial"/>
        </w:rPr>
        <w:t xml:space="preserve">This </w:t>
      </w:r>
      <w:r w:rsidR="0096619B" w:rsidRPr="0050011A">
        <w:rPr>
          <w:rFonts w:cs="Arial"/>
        </w:rPr>
        <w:t xml:space="preserve">is a direct gap relative to GDPR Articles 25 and </w:t>
      </w:r>
      <w:r w:rsidR="00410BBA" w:rsidRPr="0050011A">
        <w:rPr>
          <w:rFonts w:cs="Arial"/>
        </w:rPr>
        <w:t>89, which require technical and procedural safeguards against re-identification to be embedded by design.</w:t>
      </w:r>
    </w:p>
    <w:p w14:paraId="1D7560A4" w14:textId="0CC73368" w:rsidR="000E02F8" w:rsidRPr="0050011A" w:rsidRDefault="0099762D" w:rsidP="0099762D">
      <w:pPr>
        <w:pStyle w:val="Heading3"/>
        <w:rPr>
          <w:rFonts w:cs="Arial"/>
        </w:rPr>
      </w:pPr>
      <w:bookmarkStart w:id="26" w:name="_Toc744823957"/>
      <w:r w:rsidRPr="54AD4DA9">
        <w:rPr>
          <w:rFonts w:cs="Arial"/>
        </w:rPr>
        <w:t xml:space="preserve">3.2.5 </w:t>
      </w:r>
      <w:r w:rsidR="002C4716" w:rsidRPr="54AD4DA9">
        <w:rPr>
          <w:rFonts w:cs="Arial"/>
        </w:rPr>
        <w:t>Unresolved Muni</w:t>
      </w:r>
      <w:r w:rsidR="00E926D2" w:rsidRPr="54AD4DA9">
        <w:rPr>
          <w:rFonts w:cs="Arial"/>
        </w:rPr>
        <w:t>cipal Dual Role</w:t>
      </w:r>
      <w:bookmarkEnd w:id="26"/>
    </w:p>
    <w:p w14:paraId="151B7690" w14:textId="6DF00670" w:rsidR="00E926D2" w:rsidRPr="0050011A" w:rsidRDefault="001A04F6" w:rsidP="0099762D">
      <w:pPr>
        <w:rPr>
          <w:rFonts w:cs="Arial"/>
        </w:rPr>
      </w:pPr>
      <w:r w:rsidRPr="0050011A">
        <w:rPr>
          <w:rFonts w:cs="Arial"/>
        </w:rPr>
        <w:t xml:space="preserve">The municipality of Eindhoven acts simultaneously as a data holder and the primary user of </w:t>
      </w:r>
      <w:r w:rsidR="005D2743" w:rsidRPr="0050011A">
        <w:rPr>
          <w:rFonts w:cs="Arial"/>
        </w:rPr>
        <w:t xml:space="preserve">data within the dataspace. This dual role presents a structural </w:t>
      </w:r>
      <w:r w:rsidR="009227E4" w:rsidRPr="0050011A">
        <w:rPr>
          <w:rFonts w:cs="Arial"/>
        </w:rPr>
        <w:t>conflic</w:t>
      </w:r>
      <w:r w:rsidR="00A0413A" w:rsidRPr="0050011A">
        <w:rPr>
          <w:rFonts w:cs="Arial"/>
        </w:rPr>
        <w:t xml:space="preserve">t of interest </w:t>
      </w:r>
      <w:r w:rsidR="0061069A" w:rsidRPr="0050011A">
        <w:rPr>
          <w:rFonts w:cs="Arial"/>
        </w:rPr>
        <w:t xml:space="preserve">that none of the reviewed documents </w:t>
      </w:r>
      <w:r w:rsidR="002209C8">
        <w:rPr>
          <w:rFonts w:cs="Arial"/>
        </w:rPr>
        <w:t>acknowledges</w:t>
      </w:r>
      <w:r w:rsidR="0061069A" w:rsidRPr="0050011A">
        <w:rPr>
          <w:rFonts w:cs="Arial"/>
        </w:rPr>
        <w:t xml:space="preserve"> or </w:t>
      </w:r>
      <w:r w:rsidR="002209C8">
        <w:rPr>
          <w:rFonts w:cs="Arial"/>
        </w:rPr>
        <w:t>addresses</w:t>
      </w:r>
      <w:r w:rsidR="0061069A" w:rsidRPr="0050011A">
        <w:rPr>
          <w:rFonts w:cs="Arial"/>
        </w:rPr>
        <w:t xml:space="preserve"> procedurally. </w:t>
      </w:r>
      <w:r w:rsidR="0024106E" w:rsidRPr="0050011A">
        <w:rPr>
          <w:rFonts w:cs="Arial"/>
        </w:rPr>
        <w:t>Municipality’s</w:t>
      </w:r>
      <w:r w:rsidR="0061069A" w:rsidRPr="0050011A">
        <w:rPr>
          <w:rFonts w:cs="Arial"/>
        </w:rPr>
        <w:t xml:space="preserve"> oversight mechanism, the municipal</w:t>
      </w:r>
      <w:r w:rsidR="008C198F" w:rsidRPr="0050011A">
        <w:rPr>
          <w:rFonts w:cs="Arial"/>
        </w:rPr>
        <w:t>ity</w:t>
      </w:r>
      <w:r w:rsidR="006F1194" w:rsidRPr="0050011A">
        <w:rPr>
          <w:rFonts w:cs="Arial"/>
        </w:rPr>
        <w:t xml:space="preserve">’s dual position risks undermining </w:t>
      </w:r>
      <w:r w:rsidR="002B79E9" w:rsidRPr="0050011A">
        <w:rPr>
          <w:rFonts w:cs="Arial"/>
        </w:rPr>
        <w:t>the ind</w:t>
      </w:r>
      <w:r w:rsidR="003359B5" w:rsidRPr="0050011A">
        <w:rPr>
          <w:rFonts w:cs="Arial"/>
        </w:rPr>
        <w:t>epen</w:t>
      </w:r>
      <w:r w:rsidR="00CF087D" w:rsidRPr="0050011A">
        <w:rPr>
          <w:rFonts w:cs="Arial"/>
        </w:rPr>
        <w:t>dence and trustw</w:t>
      </w:r>
      <w:r w:rsidR="00DE7592" w:rsidRPr="0050011A">
        <w:rPr>
          <w:rFonts w:cs="Arial"/>
        </w:rPr>
        <w:t>orthiness of the governance structure.</w:t>
      </w:r>
    </w:p>
    <w:p w14:paraId="4E48D3CF" w14:textId="44B35A23" w:rsidR="00DE7592" w:rsidRPr="0050011A" w:rsidRDefault="0099762D" w:rsidP="0099762D">
      <w:pPr>
        <w:pStyle w:val="Heading3"/>
        <w:rPr>
          <w:rFonts w:cs="Arial"/>
        </w:rPr>
      </w:pPr>
      <w:bookmarkStart w:id="27" w:name="_Toc330847257"/>
      <w:r w:rsidRPr="54AD4DA9">
        <w:rPr>
          <w:rFonts w:cs="Arial"/>
        </w:rPr>
        <w:t xml:space="preserve">3.2.6 </w:t>
      </w:r>
      <w:r w:rsidR="00DE7592" w:rsidRPr="54AD4DA9">
        <w:rPr>
          <w:rFonts w:cs="Arial"/>
        </w:rPr>
        <w:t>Missing Enforcement Mechan</w:t>
      </w:r>
      <w:r w:rsidR="0043382D" w:rsidRPr="54AD4DA9">
        <w:rPr>
          <w:rFonts w:cs="Arial"/>
        </w:rPr>
        <w:t>isms</w:t>
      </w:r>
      <w:bookmarkEnd w:id="27"/>
    </w:p>
    <w:p w14:paraId="560FD947" w14:textId="0734EC75" w:rsidR="0043382D" w:rsidRPr="0050011A" w:rsidRDefault="0043382D" w:rsidP="0099762D">
      <w:pPr>
        <w:rPr>
          <w:rFonts w:cs="Arial"/>
        </w:rPr>
      </w:pPr>
      <w:r w:rsidRPr="0050011A">
        <w:rPr>
          <w:rFonts w:cs="Arial"/>
        </w:rPr>
        <w:t>Obligations relating to intermedia</w:t>
      </w:r>
      <w:r w:rsidR="00DB24D1" w:rsidRPr="0050011A">
        <w:rPr>
          <w:rFonts w:cs="Arial"/>
        </w:rPr>
        <w:t xml:space="preserve">ry </w:t>
      </w:r>
      <w:r w:rsidR="004561DC" w:rsidRPr="0050011A">
        <w:rPr>
          <w:rFonts w:cs="Arial"/>
        </w:rPr>
        <w:t>disinterest, purpose lim</w:t>
      </w:r>
      <w:r w:rsidR="00D30379" w:rsidRPr="0050011A">
        <w:rPr>
          <w:rFonts w:cs="Arial"/>
        </w:rPr>
        <w:t xml:space="preserve">itation, and societal value are present in the </w:t>
      </w:r>
      <w:r w:rsidR="00554D5F" w:rsidRPr="0050011A">
        <w:rPr>
          <w:rFonts w:cs="Arial"/>
        </w:rPr>
        <w:t xml:space="preserve">documentation as principles but are not backed by any </w:t>
      </w:r>
      <w:r w:rsidR="00B306ED" w:rsidRPr="0050011A">
        <w:rPr>
          <w:rFonts w:cs="Arial"/>
        </w:rPr>
        <w:t>enforcement structure</w:t>
      </w:r>
      <w:r w:rsidR="00352A96" w:rsidRPr="0050011A">
        <w:rPr>
          <w:rFonts w:cs="Arial"/>
        </w:rPr>
        <w:t>. There are no defined san</w:t>
      </w:r>
      <w:r w:rsidR="005B7EF6" w:rsidRPr="0050011A">
        <w:rPr>
          <w:rFonts w:cs="Arial"/>
        </w:rPr>
        <w:t>ctions for non-compliance checkpoints built into the data-sharing process. As a result, these obligat</w:t>
      </w:r>
      <w:r w:rsidR="001F4F9D" w:rsidRPr="0050011A">
        <w:rPr>
          <w:rFonts w:cs="Arial"/>
        </w:rPr>
        <w:t xml:space="preserve">ions remain </w:t>
      </w:r>
      <w:r w:rsidR="007C3DCF" w:rsidRPr="0050011A">
        <w:rPr>
          <w:rFonts w:cs="Arial"/>
        </w:rPr>
        <w:t>motivated rather than binding</w:t>
      </w:r>
    </w:p>
    <w:p w14:paraId="4B70EE2D" w14:textId="77777777" w:rsidR="005457D9" w:rsidRPr="0050011A" w:rsidRDefault="005457D9" w:rsidP="005457D9">
      <w:pPr>
        <w:pStyle w:val="Heading2"/>
        <w:rPr>
          <w:rFonts w:cs="Arial"/>
        </w:rPr>
      </w:pPr>
      <w:bookmarkStart w:id="28" w:name="_Toc230347181"/>
      <w:bookmarkStart w:id="29" w:name="_Toc1804171779"/>
      <w:r w:rsidRPr="54AD4DA9">
        <w:rPr>
          <w:rFonts w:cs="Arial"/>
        </w:rPr>
        <w:t>3.3 Why These Gaps Matter</w:t>
      </w:r>
      <w:bookmarkEnd w:id="28"/>
      <w:bookmarkEnd w:id="29"/>
    </w:p>
    <w:p w14:paraId="6AF8924E" w14:textId="0A843048" w:rsidR="00B47052" w:rsidRPr="0050011A" w:rsidRDefault="00B47052" w:rsidP="005457D9">
      <w:pPr>
        <w:rPr>
          <w:rFonts w:cs="Arial"/>
        </w:rPr>
      </w:pPr>
      <w:r w:rsidRPr="0050011A">
        <w:rPr>
          <w:rFonts w:cs="Arial"/>
        </w:rPr>
        <w:t xml:space="preserve">The gaps </w:t>
      </w:r>
      <w:r w:rsidR="00FF5693" w:rsidRPr="0050011A">
        <w:rPr>
          <w:rFonts w:cs="Arial"/>
        </w:rPr>
        <w:t>mentioned in the previous section</w:t>
      </w:r>
      <w:r w:rsidR="005D574C" w:rsidRPr="0050011A">
        <w:rPr>
          <w:rFonts w:cs="Arial"/>
        </w:rPr>
        <w:t xml:space="preserve"> are not just </w:t>
      </w:r>
      <w:r w:rsidR="00E87A9D" w:rsidRPr="0050011A">
        <w:rPr>
          <w:rFonts w:cs="Arial"/>
        </w:rPr>
        <w:t>administrative inconve</w:t>
      </w:r>
      <w:r w:rsidR="000F19F4" w:rsidRPr="0050011A">
        <w:rPr>
          <w:rFonts w:cs="Arial"/>
        </w:rPr>
        <w:t>niences or technical oversights</w:t>
      </w:r>
      <w:r w:rsidR="006C3F9A" w:rsidRPr="0050011A">
        <w:rPr>
          <w:rFonts w:cs="Arial"/>
        </w:rPr>
        <w:t xml:space="preserve">. Each one </w:t>
      </w:r>
      <w:r w:rsidR="001A609B" w:rsidRPr="0050011A">
        <w:rPr>
          <w:rFonts w:cs="Arial"/>
        </w:rPr>
        <w:t xml:space="preserve">represents an ethical </w:t>
      </w:r>
      <w:r w:rsidR="00933999" w:rsidRPr="0050011A">
        <w:rPr>
          <w:rFonts w:cs="Arial"/>
        </w:rPr>
        <w:t>problem that</w:t>
      </w:r>
      <w:r w:rsidR="00280889" w:rsidRPr="0050011A">
        <w:rPr>
          <w:rFonts w:cs="Arial"/>
        </w:rPr>
        <w:t>,</w:t>
      </w:r>
      <w:r w:rsidR="00933999" w:rsidRPr="0050011A">
        <w:rPr>
          <w:rFonts w:cs="Arial"/>
        </w:rPr>
        <w:t xml:space="preserve"> when left unaddressed</w:t>
      </w:r>
      <w:r w:rsidR="00280889" w:rsidRPr="0050011A">
        <w:rPr>
          <w:rFonts w:cs="Arial"/>
        </w:rPr>
        <w:t>,</w:t>
      </w:r>
      <w:r w:rsidR="005F7603" w:rsidRPr="0050011A">
        <w:rPr>
          <w:rFonts w:cs="Arial"/>
        </w:rPr>
        <w:t xml:space="preserve"> weakens the legitimacy of the entire dataspace a</w:t>
      </w:r>
      <w:r w:rsidR="00280889" w:rsidRPr="0050011A">
        <w:rPr>
          <w:rFonts w:cs="Arial"/>
        </w:rPr>
        <w:t>nd the trust of everyone who participates in or is affected by it.</w:t>
      </w:r>
      <w:r w:rsidR="003D6BB2" w:rsidRPr="0050011A">
        <w:rPr>
          <w:rFonts w:cs="Arial"/>
        </w:rPr>
        <w:t xml:space="preserve"> </w:t>
      </w:r>
    </w:p>
    <w:p w14:paraId="5A4509EF" w14:textId="49ED2CF9" w:rsidR="0007241C" w:rsidRPr="0050011A" w:rsidRDefault="00EA22F6" w:rsidP="005457D9">
      <w:pPr>
        <w:rPr>
          <w:rFonts w:cs="Arial"/>
        </w:rPr>
      </w:pPr>
      <w:r w:rsidRPr="0050011A">
        <w:rPr>
          <w:rFonts w:cs="Arial"/>
        </w:rPr>
        <w:t xml:space="preserve">Without clearly defined roles and responsibilities, accountability becomes </w:t>
      </w:r>
      <w:r w:rsidR="00A844B9" w:rsidRPr="0050011A">
        <w:rPr>
          <w:rFonts w:cs="Arial"/>
        </w:rPr>
        <w:t>impossible to enforce</w:t>
      </w:r>
      <w:r w:rsidR="00560A53" w:rsidRPr="0050011A">
        <w:rPr>
          <w:rFonts w:cs="Arial"/>
        </w:rPr>
        <w:t xml:space="preserve">. </w:t>
      </w:r>
      <w:r w:rsidR="007E7CFB" w:rsidRPr="0050011A">
        <w:rPr>
          <w:rFonts w:cs="Arial"/>
        </w:rPr>
        <w:t>Following the research into data governance</w:t>
      </w:r>
      <w:r w:rsidR="00190963" w:rsidRPr="0050011A">
        <w:rPr>
          <w:rFonts w:cs="Arial"/>
        </w:rPr>
        <w:t xml:space="preserve">, failures </w:t>
      </w:r>
      <w:r w:rsidR="00295F76" w:rsidRPr="0050011A">
        <w:rPr>
          <w:rFonts w:cs="Arial"/>
        </w:rPr>
        <w:t xml:space="preserve">consistently </w:t>
      </w:r>
      <w:r w:rsidR="00EA5E9E" w:rsidRPr="0050011A">
        <w:rPr>
          <w:rFonts w:cs="Arial"/>
        </w:rPr>
        <w:t>show</w:t>
      </w:r>
      <w:r w:rsidR="00295F76" w:rsidRPr="0050011A">
        <w:rPr>
          <w:rFonts w:cs="Arial"/>
        </w:rPr>
        <w:t xml:space="preserve"> that </w:t>
      </w:r>
      <w:r w:rsidR="00B7733A" w:rsidRPr="0050011A">
        <w:rPr>
          <w:rFonts w:cs="Arial"/>
        </w:rPr>
        <w:t xml:space="preserve">unclear role definitions are </w:t>
      </w:r>
      <w:r w:rsidR="00EE686B" w:rsidRPr="0050011A">
        <w:rPr>
          <w:rFonts w:cs="Arial"/>
        </w:rPr>
        <w:t xml:space="preserve">a </w:t>
      </w:r>
      <w:r w:rsidR="0004302A" w:rsidRPr="0050011A">
        <w:rPr>
          <w:rFonts w:cs="Arial"/>
        </w:rPr>
        <w:t xml:space="preserve">primary reason </w:t>
      </w:r>
      <w:r w:rsidR="0041258B" w:rsidRPr="0050011A">
        <w:rPr>
          <w:rFonts w:cs="Arial"/>
        </w:rPr>
        <w:t>for why data-sharing initiatives fail, especially when multiple stakeholders with different interests are involved. When no one is formally assigned responsibility for</w:t>
      </w:r>
      <w:r w:rsidR="00A37B9D" w:rsidRPr="0050011A">
        <w:rPr>
          <w:rFonts w:cs="Arial"/>
        </w:rPr>
        <w:t xml:space="preserve"> a </w:t>
      </w:r>
      <w:r w:rsidR="0070025F" w:rsidRPr="0050011A">
        <w:rPr>
          <w:rFonts w:cs="Arial"/>
        </w:rPr>
        <w:t>data-related</w:t>
      </w:r>
      <w:r w:rsidR="00A37B9D" w:rsidRPr="0050011A">
        <w:rPr>
          <w:rFonts w:cs="Arial"/>
        </w:rPr>
        <w:t xml:space="preserve"> </w:t>
      </w:r>
      <w:r w:rsidR="00A37B9D" w:rsidRPr="0050011A">
        <w:rPr>
          <w:rFonts w:cs="Arial"/>
        </w:rPr>
        <w:lastRenderedPageBreak/>
        <w:t>activity</w:t>
      </w:r>
      <w:r w:rsidR="00AE441C" w:rsidRPr="0050011A">
        <w:rPr>
          <w:rFonts w:cs="Arial"/>
        </w:rPr>
        <w:t>, no one can be held accountable when something goes wrong, which directly</w:t>
      </w:r>
      <w:r w:rsidR="007C4328" w:rsidRPr="0050011A">
        <w:rPr>
          <w:rFonts w:cs="Arial"/>
        </w:rPr>
        <w:t xml:space="preserve"> </w:t>
      </w:r>
      <w:r w:rsidR="0007241C" w:rsidRPr="0050011A">
        <w:rPr>
          <w:rFonts w:cs="Arial"/>
        </w:rPr>
        <w:t>breaks</w:t>
      </w:r>
      <w:r w:rsidR="00515CCA" w:rsidRPr="0050011A">
        <w:rPr>
          <w:rFonts w:cs="Arial"/>
        </w:rPr>
        <w:t xml:space="preserve"> the principle of </w:t>
      </w:r>
      <w:r w:rsidR="0057658C" w:rsidRPr="0050011A">
        <w:rPr>
          <w:rFonts w:cs="Arial"/>
        </w:rPr>
        <w:t xml:space="preserve">accountability that </w:t>
      </w:r>
      <w:r w:rsidR="00CC5106" w:rsidRPr="0050011A">
        <w:rPr>
          <w:rFonts w:cs="Arial"/>
        </w:rPr>
        <w:t>a governance structure is dependent on.</w:t>
      </w:r>
      <w:r w:rsidR="00BE27C7" w:rsidRPr="0050011A">
        <w:rPr>
          <w:rFonts w:cs="Arial"/>
        </w:rPr>
        <w:br/>
        <w:t xml:space="preserve">Equally problematic </w:t>
      </w:r>
      <w:r w:rsidR="003D67D3" w:rsidRPr="0050011A">
        <w:rPr>
          <w:rFonts w:cs="Arial"/>
        </w:rPr>
        <w:t xml:space="preserve">is that data use after </w:t>
      </w:r>
      <w:r w:rsidR="00A46839" w:rsidRPr="0050011A">
        <w:rPr>
          <w:rFonts w:cs="Arial"/>
        </w:rPr>
        <w:t>admission in</w:t>
      </w:r>
      <w:r w:rsidR="001F5A03" w:rsidRPr="0050011A">
        <w:rPr>
          <w:rFonts w:cs="Arial"/>
        </w:rPr>
        <w:t xml:space="preserve">to the dataspace is currently unmonitored beyond the point of onboarding. </w:t>
      </w:r>
      <w:r w:rsidR="00D56AAA" w:rsidRPr="0050011A">
        <w:rPr>
          <w:rFonts w:cs="Arial"/>
        </w:rPr>
        <w:t xml:space="preserve">Participants of the dataspace can access data, derive insights, and act on those insights without any independent verification </w:t>
      </w:r>
      <w:r w:rsidR="00B33FF1" w:rsidRPr="0050011A">
        <w:rPr>
          <w:rFonts w:cs="Arial"/>
        </w:rPr>
        <w:t xml:space="preserve">that their use stayed within </w:t>
      </w:r>
      <w:r w:rsidR="0000092E" w:rsidRPr="0050011A">
        <w:rPr>
          <w:rFonts w:cs="Arial"/>
        </w:rPr>
        <w:t xml:space="preserve">the agreed-upon boundaries. This </w:t>
      </w:r>
      <w:r w:rsidR="00A81FC2" w:rsidRPr="0050011A">
        <w:rPr>
          <w:rFonts w:cs="Arial"/>
        </w:rPr>
        <w:t xml:space="preserve">sets the stage for mission creep, where data collected for one purpose </w:t>
      </w:r>
      <w:r w:rsidR="005325DC" w:rsidRPr="0050011A">
        <w:rPr>
          <w:rFonts w:cs="Arial"/>
        </w:rPr>
        <w:t>can qu</w:t>
      </w:r>
      <w:r w:rsidR="000457A5" w:rsidRPr="0050011A">
        <w:rPr>
          <w:rFonts w:cs="Arial"/>
        </w:rPr>
        <w:t xml:space="preserve">ietly </w:t>
      </w:r>
      <w:r w:rsidR="00DA1B2E" w:rsidRPr="0050011A">
        <w:rPr>
          <w:rFonts w:cs="Arial"/>
        </w:rPr>
        <w:t xml:space="preserve">be </w:t>
      </w:r>
      <w:r w:rsidR="00020DDE" w:rsidRPr="0050011A">
        <w:rPr>
          <w:rFonts w:cs="Arial"/>
        </w:rPr>
        <w:t>repurposed for uses that citizens would not expect, violating</w:t>
      </w:r>
      <w:r w:rsidR="004D1A5F" w:rsidRPr="0050011A">
        <w:rPr>
          <w:rFonts w:cs="Arial"/>
        </w:rPr>
        <w:t xml:space="preserve"> both the GDPR principle of purpose limitation and the ethical </w:t>
      </w:r>
      <w:r w:rsidR="00DE2383" w:rsidRPr="0050011A">
        <w:rPr>
          <w:rFonts w:cs="Arial"/>
        </w:rPr>
        <w:t>principle</w:t>
      </w:r>
      <w:r w:rsidR="004D1A5F" w:rsidRPr="0050011A">
        <w:rPr>
          <w:rFonts w:cs="Arial"/>
        </w:rPr>
        <w:t xml:space="preserve"> of transparency.</w:t>
      </w:r>
    </w:p>
    <w:p w14:paraId="4A4BF712" w14:textId="0A997AEF" w:rsidR="00550C20" w:rsidRPr="0050011A" w:rsidRDefault="00AD3B7C" w:rsidP="005457D9">
      <w:pPr>
        <w:rPr>
          <w:rFonts w:cs="Arial"/>
        </w:rPr>
      </w:pPr>
      <w:r w:rsidRPr="0050011A">
        <w:rPr>
          <w:rFonts w:cs="Arial"/>
        </w:rPr>
        <w:t xml:space="preserve">New use cases are also being </w:t>
      </w:r>
      <w:r w:rsidR="009C2FD6" w:rsidRPr="0050011A">
        <w:rPr>
          <w:rFonts w:cs="Arial"/>
        </w:rPr>
        <w:t xml:space="preserve">deployed </w:t>
      </w:r>
      <w:r w:rsidR="007E6B3E" w:rsidRPr="0050011A">
        <w:rPr>
          <w:rFonts w:cs="Arial"/>
        </w:rPr>
        <w:t xml:space="preserve">without any structured considerations for potential harm. In a smart city context, where data about movement and environmental conditions in public space can </w:t>
      </w:r>
      <w:r w:rsidR="00473107" w:rsidRPr="0050011A">
        <w:rPr>
          <w:rFonts w:cs="Arial"/>
        </w:rPr>
        <w:t>be combined with other data</w:t>
      </w:r>
      <w:r w:rsidR="00E41B6C" w:rsidRPr="0050011A">
        <w:rPr>
          <w:rFonts w:cs="Arial"/>
        </w:rPr>
        <w:t xml:space="preserve">sets in ways not </w:t>
      </w:r>
      <w:r w:rsidR="00727A80" w:rsidRPr="0050011A">
        <w:rPr>
          <w:rFonts w:cs="Arial"/>
        </w:rPr>
        <w:t>anticipated when collected</w:t>
      </w:r>
      <w:r w:rsidR="003F1CE7" w:rsidRPr="0050011A">
        <w:rPr>
          <w:rFonts w:cs="Arial"/>
        </w:rPr>
        <w:t>, this is a</w:t>
      </w:r>
      <w:r w:rsidR="001B16CA" w:rsidRPr="0050011A">
        <w:rPr>
          <w:rFonts w:cs="Arial"/>
        </w:rPr>
        <w:t xml:space="preserve"> significant risk</w:t>
      </w:r>
      <w:r w:rsidR="002D0DCE" w:rsidRPr="0050011A">
        <w:rPr>
          <w:rFonts w:cs="Arial"/>
        </w:rPr>
        <w:t xml:space="preserve">. The </w:t>
      </w:r>
      <w:r w:rsidR="002D23D0" w:rsidRPr="0050011A">
        <w:rPr>
          <w:rFonts w:cs="Arial"/>
        </w:rPr>
        <w:t>principle</w:t>
      </w:r>
      <w:r w:rsidR="002D0DCE" w:rsidRPr="0050011A">
        <w:rPr>
          <w:rFonts w:cs="Arial"/>
        </w:rPr>
        <w:t xml:space="preserve"> of non-maleficence requires</w:t>
      </w:r>
      <w:r w:rsidR="00E01EA0" w:rsidRPr="0050011A">
        <w:rPr>
          <w:rFonts w:cs="Arial"/>
        </w:rPr>
        <w:t xml:space="preserve"> that any form of potential harm </w:t>
      </w:r>
      <w:r w:rsidR="00020DDE" w:rsidRPr="0050011A">
        <w:rPr>
          <w:rFonts w:cs="Arial"/>
        </w:rPr>
        <w:t>be</w:t>
      </w:r>
      <w:r w:rsidR="00E01EA0" w:rsidRPr="0050011A">
        <w:rPr>
          <w:rFonts w:cs="Arial"/>
        </w:rPr>
        <w:t xml:space="preserve"> assessed before it occurs, not after</w:t>
      </w:r>
      <w:r w:rsidR="0035326E" w:rsidRPr="0050011A">
        <w:rPr>
          <w:rFonts w:cs="Arial"/>
        </w:rPr>
        <w:t>, and without a formal ethics review process</w:t>
      </w:r>
      <w:r w:rsidR="006C10F3" w:rsidRPr="0050011A">
        <w:rPr>
          <w:rFonts w:cs="Arial"/>
        </w:rPr>
        <w:t>,</w:t>
      </w:r>
      <w:r w:rsidR="0035326E" w:rsidRPr="0050011A">
        <w:rPr>
          <w:rFonts w:cs="Arial"/>
        </w:rPr>
        <w:t xml:space="preserve"> this principle </w:t>
      </w:r>
      <w:r w:rsidR="00AB3E4B" w:rsidRPr="0050011A">
        <w:rPr>
          <w:rFonts w:cs="Arial"/>
        </w:rPr>
        <w:t xml:space="preserve">is not </w:t>
      </w:r>
      <w:r w:rsidR="0000015A" w:rsidRPr="0050011A">
        <w:rPr>
          <w:rFonts w:cs="Arial"/>
        </w:rPr>
        <w:t xml:space="preserve">put into practice </w:t>
      </w:r>
      <w:r w:rsidR="006C10F3" w:rsidRPr="0050011A">
        <w:rPr>
          <w:rFonts w:cs="Arial"/>
        </w:rPr>
        <w:t>within the dataspace.</w:t>
      </w:r>
      <w:r w:rsidR="00550C20" w:rsidRPr="0050011A">
        <w:rPr>
          <w:rFonts w:cs="Arial"/>
        </w:rPr>
        <w:br/>
        <w:t>The re-identification risk is particularly</w:t>
      </w:r>
      <w:r w:rsidR="00303580" w:rsidRPr="0050011A">
        <w:rPr>
          <w:rFonts w:cs="Arial"/>
        </w:rPr>
        <w:t xml:space="preserve"> </w:t>
      </w:r>
      <w:r w:rsidR="0084368A" w:rsidRPr="0050011A">
        <w:rPr>
          <w:rFonts w:cs="Arial"/>
        </w:rPr>
        <w:t xml:space="preserve">serious </w:t>
      </w:r>
      <w:r w:rsidR="00D433BA" w:rsidRPr="0050011A">
        <w:rPr>
          <w:rFonts w:cs="Arial"/>
        </w:rPr>
        <w:t xml:space="preserve">due to the nature of the data that is </w:t>
      </w:r>
      <w:r w:rsidR="00B14980" w:rsidRPr="0050011A">
        <w:rPr>
          <w:rFonts w:cs="Arial"/>
        </w:rPr>
        <w:t>being</w:t>
      </w:r>
      <w:r w:rsidR="00D433BA" w:rsidRPr="0050011A">
        <w:rPr>
          <w:rFonts w:cs="Arial"/>
        </w:rPr>
        <w:t xml:space="preserve"> collected. Traffic flow and air quality data may appear non-personal, </w:t>
      </w:r>
      <w:r w:rsidR="00DC0A88" w:rsidRPr="0050011A">
        <w:rPr>
          <w:rFonts w:cs="Arial"/>
        </w:rPr>
        <w:t xml:space="preserve">but </w:t>
      </w:r>
      <w:r w:rsidR="004826B7" w:rsidRPr="0050011A">
        <w:rPr>
          <w:rFonts w:cs="Arial"/>
        </w:rPr>
        <w:t xml:space="preserve">comparable projects have shown that </w:t>
      </w:r>
      <w:r w:rsidR="0067408C" w:rsidRPr="0050011A">
        <w:rPr>
          <w:rFonts w:cs="Arial"/>
        </w:rPr>
        <w:t xml:space="preserve">even anonymised datasets can, when combined with other publicly available sources, </w:t>
      </w:r>
      <w:r w:rsidR="00086155" w:rsidRPr="0050011A">
        <w:rPr>
          <w:rFonts w:cs="Arial"/>
        </w:rPr>
        <w:t>show patterns about specific individuals</w:t>
      </w:r>
      <w:r w:rsidR="00C332B0" w:rsidRPr="0050011A">
        <w:rPr>
          <w:rFonts w:cs="Arial"/>
        </w:rPr>
        <w:t xml:space="preserve"> or groups.</w:t>
      </w:r>
      <w:r w:rsidR="00C70371" w:rsidRPr="0050011A">
        <w:rPr>
          <w:rFonts w:cs="Arial"/>
        </w:rPr>
        <w:t xml:space="preserve"> This risk does not go away when </w:t>
      </w:r>
      <w:r w:rsidR="00535072" w:rsidRPr="0050011A">
        <w:rPr>
          <w:rFonts w:cs="Arial"/>
        </w:rPr>
        <w:t xml:space="preserve">data is </w:t>
      </w:r>
      <w:r w:rsidR="00E34B6A" w:rsidRPr="0050011A">
        <w:rPr>
          <w:rFonts w:cs="Arial"/>
        </w:rPr>
        <w:t>anonymised</w:t>
      </w:r>
      <w:r w:rsidR="001936A6" w:rsidRPr="0050011A">
        <w:rPr>
          <w:rFonts w:cs="Arial"/>
        </w:rPr>
        <w:t xml:space="preserve"> at the point of </w:t>
      </w:r>
      <w:r w:rsidR="00E34B6A" w:rsidRPr="0050011A">
        <w:rPr>
          <w:rFonts w:cs="Arial"/>
        </w:rPr>
        <w:t>collection</w:t>
      </w:r>
      <w:r w:rsidR="001936A6" w:rsidRPr="0050011A">
        <w:rPr>
          <w:rFonts w:cs="Arial"/>
        </w:rPr>
        <w:t xml:space="preserve"> and </w:t>
      </w:r>
      <w:r w:rsidR="00E34B6A" w:rsidRPr="0050011A">
        <w:rPr>
          <w:rFonts w:cs="Arial"/>
        </w:rPr>
        <w:t>needs to be actively assessed throughout the life</w:t>
      </w:r>
      <w:r w:rsidR="005A36DC" w:rsidRPr="0050011A">
        <w:rPr>
          <w:rFonts w:cs="Arial"/>
        </w:rPr>
        <w:t>time</w:t>
      </w:r>
      <w:r w:rsidR="00E34B6A" w:rsidRPr="0050011A">
        <w:rPr>
          <w:rFonts w:cs="Arial"/>
        </w:rPr>
        <w:t xml:space="preserve"> of the dataset.</w:t>
      </w:r>
      <w:r w:rsidR="00BA333D" w:rsidRPr="0050011A">
        <w:rPr>
          <w:rFonts w:cs="Arial"/>
        </w:rPr>
        <w:t xml:space="preserve"> </w:t>
      </w:r>
      <w:r w:rsidR="006A02BB" w:rsidRPr="0050011A">
        <w:rPr>
          <w:rFonts w:cs="Arial"/>
        </w:rPr>
        <w:t>Relying on an unverified assumption of saf</w:t>
      </w:r>
      <w:r w:rsidR="00875831" w:rsidRPr="0050011A">
        <w:rPr>
          <w:rFonts w:cs="Arial"/>
        </w:rPr>
        <w:t xml:space="preserve">ety is a direct ethical failure to protect citizens from unintended surveillance. </w:t>
      </w:r>
    </w:p>
    <w:p w14:paraId="3139458F" w14:textId="77777777" w:rsidR="00DA47D6" w:rsidRPr="0050011A" w:rsidRDefault="000F130E" w:rsidP="005457D9">
      <w:pPr>
        <w:rPr>
          <w:rFonts w:cs="Arial"/>
        </w:rPr>
      </w:pPr>
      <w:r w:rsidRPr="0050011A">
        <w:rPr>
          <w:rFonts w:cs="Arial"/>
        </w:rPr>
        <w:t xml:space="preserve">The unresolved dual role of the Municipality of Eindhoven as both data holder and primary user is </w:t>
      </w:r>
      <w:r w:rsidR="00BB6C69" w:rsidRPr="0050011A">
        <w:rPr>
          <w:rFonts w:cs="Arial"/>
        </w:rPr>
        <w:t xml:space="preserve">one of the most </w:t>
      </w:r>
      <w:r w:rsidR="00250511" w:rsidRPr="0050011A">
        <w:rPr>
          <w:rFonts w:cs="Arial"/>
        </w:rPr>
        <w:t xml:space="preserve">structurally significant gaps. The Data Governance </w:t>
      </w:r>
      <w:r w:rsidR="00332320" w:rsidRPr="0050011A">
        <w:rPr>
          <w:rFonts w:cs="Arial"/>
        </w:rPr>
        <w:t xml:space="preserve">Act is </w:t>
      </w:r>
      <w:r w:rsidR="00A428C8" w:rsidRPr="0050011A">
        <w:rPr>
          <w:rFonts w:cs="Arial"/>
        </w:rPr>
        <w:t xml:space="preserve">explicit in requiring that data sharing arrangements </w:t>
      </w:r>
      <w:r w:rsidR="00DF5917" w:rsidRPr="0050011A">
        <w:rPr>
          <w:rFonts w:cs="Arial"/>
        </w:rPr>
        <w:t>should be neutral and in</w:t>
      </w:r>
      <w:r w:rsidR="007B782D" w:rsidRPr="0050011A">
        <w:rPr>
          <w:rFonts w:cs="Arial"/>
        </w:rPr>
        <w:t>dependent. Wh</w:t>
      </w:r>
      <w:r w:rsidR="003261A2" w:rsidRPr="0050011A">
        <w:rPr>
          <w:rFonts w:cs="Arial"/>
        </w:rPr>
        <w:t xml:space="preserve">en the party </w:t>
      </w:r>
      <w:r w:rsidR="00B74362" w:rsidRPr="0050011A">
        <w:rPr>
          <w:rFonts w:cs="Arial"/>
        </w:rPr>
        <w:t>with the</w:t>
      </w:r>
      <w:r w:rsidR="00915A40" w:rsidRPr="0050011A">
        <w:rPr>
          <w:rFonts w:cs="Arial"/>
        </w:rPr>
        <w:t xml:space="preserve"> </w:t>
      </w:r>
      <w:r w:rsidR="00A710C8" w:rsidRPr="0050011A">
        <w:rPr>
          <w:rFonts w:cs="Arial"/>
        </w:rPr>
        <w:t>strongest</w:t>
      </w:r>
      <w:r w:rsidR="00915A40" w:rsidRPr="0050011A">
        <w:rPr>
          <w:rFonts w:cs="Arial"/>
        </w:rPr>
        <w:t xml:space="preserve"> interest in using </w:t>
      </w:r>
      <w:r w:rsidR="00E216CD" w:rsidRPr="0050011A">
        <w:rPr>
          <w:rFonts w:cs="Arial"/>
        </w:rPr>
        <w:t xml:space="preserve">data also controls access to it, </w:t>
      </w:r>
      <w:r w:rsidR="00A710C8" w:rsidRPr="0050011A">
        <w:rPr>
          <w:rFonts w:cs="Arial"/>
        </w:rPr>
        <w:t xml:space="preserve">then there is no </w:t>
      </w:r>
      <w:r w:rsidR="006E07CA" w:rsidRPr="0050011A">
        <w:rPr>
          <w:rFonts w:cs="Arial"/>
        </w:rPr>
        <w:t xml:space="preserve">independent check </w:t>
      </w:r>
      <w:r w:rsidR="00FD4EAC" w:rsidRPr="0050011A">
        <w:rPr>
          <w:rFonts w:cs="Arial"/>
        </w:rPr>
        <w:t xml:space="preserve">on </w:t>
      </w:r>
      <w:r w:rsidR="007C18F2" w:rsidRPr="0050011A">
        <w:rPr>
          <w:rFonts w:cs="Arial"/>
        </w:rPr>
        <w:t>whether access de</w:t>
      </w:r>
      <w:r w:rsidR="008C269C" w:rsidRPr="0050011A">
        <w:rPr>
          <w:rFonts w:cs="Arial"/>
        </w:rPr>
        <w:t xml:space="preserve">cisions </w:t>
      </w:r>
      <w:r w:rsidR="00F36113" w:rsidRPr="0050011A">
        <w:rPr>
          <w:rFonts w:cs="Arial"/>
        </w:rPr>
        <w:t>are</w:t>
      </w:r>
      <w:r w:rsidR="008C269C" w:rsidRPr="0050011A">
        <w:rPr>
          <w:rFonts w:cs="Arial"/>
        </w:rPr>
        <w:t xml:space="preserve"> fair and </w:t>
      </w:r>
      <w:r w:rsidR="00091A98" w:rsidRPr="0050011A">
        <w:rPr>
          <w:rFonts w:cs="Arial"/>
        </w:rPr>
        <w:t>appropriate</w:t>
      </w:r>
      <w:r w:rsidR="00744532" w:rsidRPr="0050011A">
        <w:rPr>
          <w:rFonts w:cs="Arial"/>
        </w:rPr>
        <w:t>. This</w:t>
      </w:r>
      <w:r w:rsidR="00BB184A" w:rsidRPr="0050011A">
        <w:rPr>
          <w:rFonts w:cs="Arial"/>
        </w:rPr>
        <w:t xml:space="preserve"> </w:t>
      </w:r>
      <w:r w:rsidR="009C054C" w:rsidRPr="0050011A">
        <w:rPr>
          <w:rFonts w:cs="Arial"/>
        </w:rPr>
        <w:t>pa</w:t>
      </w:r>
      <w:r w:rsidR="004B3D91" w:rsidRPr="0050011A">
        <w:rPr>
          <w:rFonts w:cs="Arial"/>
        </w:rPr>
        <w:t>ttern has been documented in practice</w:t>
      </w:r>
      <w:r w:rsidR="00CA1BCF" w:rsidRPr="0050011A">
        <w:rPr>
          <w:rFonts w:cs="Arial"/>
        </w:rPr>
        <w:t xml:space="preserve">: </w:t>
      </w:r>
      <w:r w:rsidR="004B3D91" w:rsidRPr="0050011A">
        <w:rPr>
          <w:rFonts w:cs="Arial"/>
        </w:rPr>
        <w:t>research into public</w:t>
      </w:r>
      <w:r w:rsidR="009516BB" w:rsidRPr="0050011A">
        <w:rPr>
          <w:rFonts w:cs="Arial"/>
        </w:rPr>
        <w:t xml:space="preserve"> sector dataspaces has shown that allowing the same institution to hold both the data controller and primary data user roles without independent oversight creates conditions where transparency becomes </w:t>
      </w:r>
      <w:r w:rsidR="004A3006" w:rsidRPr="0050011A">
        <w:rPr>
          <w:rFonts w:cs="Arial"/>
        </w:rPr>
        <w:t>insufficient and public trust erodes as a result (Micheli, 2022)</w:t>
      </w:r>
      <w:r w:rsidR="00CA1BCF" w:rsidRPr="0050011A">
        <w:rPr>
          <w:rFonts w:cs="Arial"/>
        </w:rPr>
        <w:t>. The Eindhoven dataspace situation has the same structural risk and must be explicitly addressed through the governance framework.</w:t>
      </w:r>
    </w:p>
    <w:p w14:paraId="10640FA9" w14:textId="0D7E74B4" w:rsidR="000F130E" w:rsidRPr="0050011A" w:rsidRDefault="004B29B7" w:rsidP="005457D9">
      <w:pPr>
        <w:rPr>
          <w:rFonts w:cs="Arial"/>
        </w:rPr>
      </w:pPr>
      <w:r w:rsidRPr="0050011A">
        <w:rPr>
          <w:rFonts w:cs="Arial"/>
        </w:rPr>
        <w:t xml:space="preserve">Lastly, without </w:t>
      </w:r>
      <w:r w:rsidR="00FB7F4C" w:rsidRPr="0050011A">
        <w:rPr>
          <w:rFonts w:cs="Arial"/>
        </w:rPr>
        <w:t>enforcement mechanisms,</w:t>
      </w:r>
      <w:r w:rsidR="006E16BA" w:rsidRPr="0050011A">
        <w:rPr>
          <w:rFonts w:cs="Arial"/>
        </w:rPr>
        <w:t xml:space="preserve"> governance</w:t>
      </w:r>
      <w:r w:rsidR="00FB7F4C" w:rsidRPr="0050011A">
        <w:rPr>
          <w:rFonts w:cs="Arial"/>
        </w:rPr>
        <w:t xml:space="preserve"> </w:t>
      </w:r>
      <w:r w:rsidR="00CA13FF" w:rsidRPr="0050011A">
        <w:rPr>
          <w:rFonts w:cs="Arial"/>
        </w:rPr>
        <w:t>obligations are motivational rather than binding. A framework without defined consequences for non-compliance can be ignored without penalty, which</w:t>
      </w:r>
      <w:r w:rsidR="0024576F" w:rsidRPr="0050011A">
        <w:rPr>
          <w:rFonts w:cs="Arial"/>
        </w:rPr>
        <w:t>,</w:t>
      </w:r>
      <w:r w:rsidR="00CA13FF" w:rsidRPr="0050011A">
        <w:rPr>
          <w:rFonts w:cs="Arial"/>
        </w:rPr>
        <w:t xml:space="preserve"> over time</w:t>
      </w:r>
      <w:r w:rsidR="00B965D1" w:rsidRPr="0050011A">
        <w:rPr>
          <w:rFonts w:cs="Arial"/>
        </w:rPr>
        <w:t>,</w:t>
      </w:r>
      <w:r w:rsidR="00EF47E0" w:rsidRPr="0050011A">
        <w:rPr>
          <w:rFonts w:cs="Arial"/>
        </w:rPr>
        <w:t xml:space="preserve"> weakens the </w:t>
      </w:r>
      <w:r w:rsidR="00B965D1" w:rsidRPr="0050011A">
        <w:rPr>
          <w:rFonts w:cs="Arial"/>
        </w:rPr>
        <w:t>credibility of the governance structure</w:t>
      </w:r>
      <w:r w:rsidR="008C001F" w:rsidRPr="0050011A">
        <w:rPr>
          <w:rFonts w:cs="Arial"/>
        </w:rPr>
        <w:t xml:space="preserve"> as a whole and </w:t>
      </w:r>
      <w:r w:rsidR="00A34963" w:rsidRPr="0050011A">
        <w:rPr>
          <w:rFonts w:cs="Arial"/>
        </w:rPr>
        <w:t>removes any meaningful distinction bet</w:t>
      </w:r>
      <w:r w:rsidR="006E6516" w:rsidRPr="0050011A">
        <w:rPr>
          <w:rFonts w:cs="Arial"/>
        </w:rPr>
        <w:t xml:space="preserve">ween a </w:t>
      </w:r>
      <w:r w:rsidR="00FC2020" w:rsidRPr="0050011A">
        <w:rPr>
          <w:rFonts w:cs="Arial"/>
        </w:rPr>
        <w:t>participant who meets their obligations and one who does not.</w:t>
      </w:r>
    </w:p>
    <w:p w14:paraId="1AD8E2B8" w14:textId="6B66C402" w:rsidR="000F130E" w:rsidRPr="0050011A" w:rsidRDefault="008224BB" w:rsidP="005457D9">
      <w:pPr>
        <w:rPr>
          <w:rFonts w:cs="Arial"/>
        </w:rPr>
      </w:pPr>
      <w:r w:rsidRPr="0050011A">
        <w:rPr>
          <w:rFonts w:cs="Arial"/>
        </w:rPr>
        <w:br w:type="page"/>
      </w:r>
    </w:p>
    <w:p w14:paraId="5C759D05" w14:textId="4A5EA2B7" w:rsidR="00E612DD" w:rsidRPr="0050011A" w:rsidRDefault="00E612DD" w:rsidP="00E612DD">
      <w:pPr>
        <w:rPr>
          <w:rFonts w:cs="Arial"/>
        </w:rPr>
      </w:pPr>
      <w:bookmarkStart w:id="30" w:name="_Toc230347182"/>
      <w:bookmarkStart w:id="31" w:name="_Toc262639049"/>
      <w:r w:rsidRPr="54AD4DA9">
        <w:rPr>
          <w:rStyle w:val="Heading1Char"/>
          <w:rFonts w:cs="Arial"/>
        </w:rPr>
        <w:lastRenderedPageBreak/>
        <w:t xml:space="preserve">4. </w:t>
      </w:r>
      <w:r w:rsidR="00366549" w:rsidRPr="54AD4DA9">
        <w:rPr>
          <w:rStyle w:val="Heading1Char"/>
          <w:rFonts w:cs="Arial"/>
        </w:rPr>
        <w:t>Principles and Legal Foundation</w:t>
      </w:r>
      <w:bookmarkEnd w:id="30"/>
      <w:bookmarkEnd w:id="31"/>
      <w:r w:rsidRPr="54AD4DA9">
        <w:rPr>
          <w:rFonts w:cs="Arial"/>
        </w:rPr>
        <w:t xml:space="preserve"> </w:t>
      </w:r>
    </w:p>
    <w:p w14:paraId="33D047BB" w14:textId="3A8DBCF5" w:rsidR="00366549" w:rsidRPr="0050011A" w:rsidRDefault="00366549" w:rsidP="00366549">
      <w:pPr>
        <w:pStyle w:val="Heading2"/>
        <w:rPr>
          <w:rFonts w:cs="Arial"/>
        </w:rPr>
      </w:pPr>
      <w:bookmarkStart w:id="32" w:name="_Toc230347183"/>
      <w:bookmarkStart w:id="33" w:name="_Toc224175216"/>
      <w:r w:rsidRPr="54AD4DA9">
        <w:rPr>
          <w:rFonts w:cs="Arial"/>
        </w:rPr>
        <w:t>4.1 Binding Legal Requirements</w:t>
      </w:r>
      <w:bookmarkEnd w:id="32"/>
      <w:bookmarkEnd w:id="33"/>
    </w:p>
    <w:p w14:paraId="748DFED7" w14:textId="387932DE" w:rsidR="001752BC" w:rsidRPr="0050011A" w:rsidRDefault="00064110" w:rsidP="00795B4E">
      <w:pPr>
        <w:rPr>
          <w:rFonts w:cs="Arial"/>
        </w:rPr>
      </w:pPr>
      <w:r w:rsidRPr="0050011A">
        <w:rPr>
          <w:rFonts w:cs="Arial"/>
        </w:rPr>
        <w:t xml:space="preserve">Every governance framework must be grounded in what the law </w:t>
      </w:r>
      <w:r w:rsidR="00807F4E" w:rsidRPr="0050011A">
        <w:rPr>
          <w:rFonts w:cs="Arial"/>
        </w:rPr>
        <w:t xml:space="preserve">requires. The </w:t>
      </w:r>
      <w:r w:rsidR="00940EAF" w:rsidRPr="0050011A">
        <w:rPr>
          <w:rFonts w:cs="Arial"/>
        </w:rPr>
        <w:t>obligations listed below are not bureau</w:t>
      </w:r>
      <w:r w:rsidR="006F08A3" w:rsidRPr="0050011A">
        <w:rPr>
          <w:rFonts w:cs="Arial"/>
        </w:rPr>
        <w:t>cratic form</w:t>
      </w:r>
      <w:r w:rsidR="0080406D" w:rsidRPr="0050011A">
        <w:rPr>
          <w:rFonts w:cs="Arial"/>
        </w:rPr>
        <w:t xml:space="preserve">alities, each one exists because </w:t>
      </w:r>
      <w:r w:rsidR="00FF4783" w:rsidRPr="0050011A">
        <w:rPr>
          <w:rFonts w:cs="Arial"/>
        </w:rPr>
        <w:t xml:space="preserve">it reflects a deeper principle about </w:t>
      </w:r>
      <w:r w:rsidR="00347B20" w:rsidRPr="0050011A">
        <w:rPr>
          <w:rFonts w:cs="Arial"/>
        </w:rPr>
        <w:t>how data should be handled in a way that is fair, safe, and trustworthy. Understanding the reasoning behind these requirements makes it easier to implement them meaningfully rather than just technically.</w:t>
      </w:r>
    </w:p>
    <w:p w14:paraId="4E3B0881" w14:textId="26CDA2AF" w:rsidR="00C86846" w:rsidRPr="0050011A" w:rsidRDefault="00FD38CC" w:rsidP="00FD38CC">
      <w:pPr>
        <w:pStyle w:val="Heading3"/>
        <w:rPr>
          <w:rFonts w:cs="Arial"/>
        </w:rPr>
      </w:pPr>
      <w:bookmarkStart w:id="34" w:name="_Toc1759228488"/>
      <w:r w:rsidRPr="54AD4DA9">
        <w:rPr>
          <w:rFonts w:cs="Arial"/>
        </w:rPr>
        <w:t>4.1.1 GDPR</w:t>
      </w:r>
      <w:r w:rsidR="00C7478F" w:rsidRPr="54AD4DA9">
        <w:rPr>
          <w:rFonts w:cs="Arial"/>
        </w:rPr>
        <w:t xml:space="preserve"> </w:t>
      </w:r>
      <w:r w:rsidR="008948F1" w:rsidRPr="54AD4DA9">
        <w:rPr>
          <w:rFonts w:cs="Arial"/>
        </w:rPr>
        <w:t xml:space="preserve">Article </w:t>
      </w:r>
      <w:r w:rsidR="004A237A" w:rsidRPr="54AD4DA9">
        <w:rPr>
          <w:rFonts w:cs="Arial"/>
        </w:rPr>
        <w:t xml:space="preserve">5 </w:t>
      </w:r>
      <w:r w:rsidR="00C7478F" w:rsidRPr="54AD4DA9">
        <w:rPr>
          <w:rFonts w:cs="Arial"/>
        </w:rPr>
        <w:t>– How data is allowed to be handled</w:t>
      </w:r>
      <w:bookmarkEnd w:id="34"/>
    </w:p>
    <w:p w14:paraId="1C0A4474" w14:textId="6E844646" w:rsidR="00101ED6" w:rsidRPr="0050011A" w:rsidRDefault="00101ED6" w:rsidP="00C7478F">
      <w:pPr>
        <w:rPr>
          <w:rFonts w:cs="Arial"/>
        </w:rPr>
      </w:pPr>
      <w:r w:rsidRPr="0050011A">
        <w:rPr>
          <w:rFonts w:cs="Arial"/>
        </w:rPr>
        <w:t xml:space="preserve">At its core, Article 5 reflects a simple ethical idea: </w:t>
      </w:r>
      <w:r w:rsidR="002209C8">
        <w:rPr>
          <w:rFonts w:cs="Arial"/>
        </w:rPr>
        <w:t>organisations</w:t>
      </w:r>
      <w:r w:rsidRPr="0050011A">
        <w:rPr>
          <w:rFonts w:cs="Arial"/>
        </w:rPr>
        <w:t xml:space="preserve"> should only collect data they genui</w:t>
      </w:r>
      <w:r w:rsidR="006C241F" w:rsidRPr="0050011A">
        <w:rPr>
          <w:rFonts w:cs="Arial"/>
        </w:rPr>
        <w:t xml:space="preserve">nely need, use it </w:t>
      </w:r>
      <w:r w:rsidR="001567A7" w:rsidRPr="0050011A">
        <w:rPr>
          <w:rFonts w:cs="Arial"/>
        </w:rPr>
        <w:t>only for the reason it was collected, and handle it with care. The law translates this into concrete</w:t>
      </w:r>
      <w:r w:rsidR="00490094" w:rsidRPr="0050011A">
        <w:rPr>
          <w:rFonts w:cs="Arial"/>
        </w:rPr>
        <w:t xml:space="preserve"> obligations around purpose limi</w:t>
      </w:r>
      <w:r w:rsidR="00534AD9" w:rsidRPr="0050011A">
        <w:rPr>
          <w:rFonts w:cs="Arial"/>
        </w:rPr>
        <w:t xml:space="preserve">tation, data </w:t>
      </w:r>
      <w:r w:rsidR="002209C8">
        <w:rPr>
          <w:rFonts w:cs="Arial"/>
        </w:rPr>
        <w:t>minimisation</w:t>
      </w:r>
      <w:r w:rsidR="00534AD9" w:rsidRPr="0050011A">
        <w:rPr>
          <w:rFonts w:cs="Arial"/>
        </w:rPr>
        <w:t>, accuracy</w:t>
      </w:r>
      <w:r w:rsidR="00577B70" w:rsidRPr="0050011A">
        <w:rPr>
          <w:rFonts w:cs="Arial"/>
        </w:rPr>
        <w:t>, and accountability. For the data</w:t>
      </w:r>
      <w:r w:rsidR="00132562" w:rsidRPr="0050011A">
        <w:rPr>
          <w:rFonts w:cs="Arial"/>
        </w:rPr>
        <w:t>space, this means every data</w:t>
      </w:r>
      <w:r w:rsidR="00B32DD3" w:rsidRPr="0050011A">
        <w:rPr>
          <w:rFonts w:cs="Arial"/>
        </w:rPr>
        <w:t xml:space="preserve"> flow must have a clear justification, and that justification must be documented</w:t>
      </w:r>
      <w:r w:rsidR="00BF7FB7" w:rsidRPr="0050011A">
        <w:rPr>
          <w:rFonts w:cs="Arial"/>
        </w:rPr>
        <w:t xml:space="preserve"> and enforceable, not assumed.</w:t>
      </w:r>
    </w:p>
    <w:p w14:paraId="52F66958" w14:textId="0C7371EC" w:rsidR="00231546" w:rsidRPr="0050011A" w:rsidRDefault="00231546" w:rsidP="00231546">
      <w:pPr>
        <w:pStyle w:val="Heading3"/>
        <w:rPr>
          <w:rFonts w:cs="Arial"/>
        </w:rPr>
      </w:pPr>
      <w:bookmarkStart w:id="35" w:name="_Toc227531421"/>
      <w:r w:rsidRPr="54AD4DA9">
        <w:rPr>
          <w:rFonts w:cs="Arial"/>
        </w:rPr>
        <w:t>4.1.2 GDPR Article 25 – Building privacy in from the start</w:t>
      </w:r>
      <w:bookmarkEnd w:id="35"/>
    </w:p>
    <w:p w14:paraId="63425ABF" w14:textId="501F3DFB" w:rsidR="00495C28" w:rsidRPr="0050011A" w:rsidRDefault="00E73B84" w:rsidP="00231546">
      <w:pPr>
        <w:rPr>
          <w:rFonts w:cs="Arial"/>
        </w:rPr>
      </w:pPr>
      <w:r w:rsidRPr="0050011A">
        <w:rPr>
          <w:rFonts w:cs="Arial"/>
        </w:rPr>
        <w:t>Article 25 is the legal expression of the idea</w:t>
      </w:r>
      <w:r w:rsidR="00956C16" w:rsidRPr="0050011A">
        <w:rPr>
          <w:rFonts w:cs="Arial"/>
        </w:rPr>
        <w:t xml:space="preserve"> that privacy protection cannot be an afterthought. It requires</w:t>
      </w:r>
      <w:r w:rsidR="00C8572F" w:rsidRPr="0050011A">
        <w:rPr>
          <w:rFonts w:cs="Arial"/>
        </w:rPr>
        <w:t xml:space="preserve"> that privacy is embedded into the design of systems and processes from the </w:t>
      </w:r>
      <w:r w:rsidR="00222D15" w:rsidRPr="0050011A">
        <w:rPr>
          <w:rFonts w:cs="Arial"/>
        </w:rPr>
        <w:t xml:space="preserve">very beginning, and that the most privacy-friendly </w:t>
      </w:r>
      <w:r w:rsidR="00D049A7" w:rsidRPr="0050011A">
        <w:rPr>
          <w:rFonts w:cs="Arial"/>
        </w:rPr>
        <w:t>option</w:t>
      </w:r>
      <w:r w:rsidR="00222D15" w:rsidRPr="0050011A">
        <w:rPr>
          <w:rFonts w:cs="Arial"/>
        </w:rPr>
        <w:t xml:space="preserve"> is the detail</w:t>
      </w:r>
      <w:r w:rsidR="00BA23FF" w:rsidRPr="0050011A">
        <w:rPr>
          <w:rFonts w:cs="Arial"/>
        </w:rPr>
        <w:t>, not something users or participants</w:t>
      </w:r>
      <w:r w:rsidR="00D50F60" w:rsidRPr="0050011A">
        <w:rPr>
          <w:rFonts w:cs="Arial"/>
        </w:rPr>
        <w:t xml:space="preserve"> have to seek out. In practice,</w:t>
      </w:r>
      <w:r w:rsidR="00B344A8" w:rsidRPr="0050011A">
        <w:rPr>
          <w:rFonts w:cs="Arial"/>
        </w:rPr>
        <w:t xml:space="preserve"> this means the data</w:t>
      </w:r>
      <w:r w:rsidR="00EC5D2F" w:rsidRPr="0050011A">
        <w:rPr>
          <w:rFonts w:cs="Arial"/>
        </w:rPr>
        <w:t xml:space="preserve">space’s technical and </w:t>
      </w:r>
      <w:r w:rsidR="002209C8">
        <w:rPr>
          <w:rFonts w:cs="Arial"/>
        </w:rPr>
        <w:t>organisational</w:t>
      </w:r>
      <w:r w:rsidR="00EC5D2F" w:rsidRPr="0050011A">
        <w:rPr>
          <w:rFonts w:cs="Arial"/>
        </w:rPr>
        <w:t xml:space="preserve"> setup must reflect privacy considerations from day one, not introduce</w:t>
      </w:r>
      <w:r w:rsidR="00896A81" w:rsidRPr="0050011A">
        <w:rPr>
          <w:rFonts w:cs="Arial"/>
        </w:rPr>
        <w:t xml:space="preserve"> them after</w:t>
      </w:r>
      <w:r w:rsidR="00E14260" w:rsidRPr="0050011A">
        <w:rPr>
          <w:rFonts w:cs="Arial"/>
        </w:rPr>
        <w:t xml:space="preserve"> problems arise.</w:t>
      </w:r>
    </w:p>
    <w:p w14:paraId="62AF3081" w14:textId="7B47F8FE" w:rsidR="00342542" w:rsidRPr="0050011A" w:rsidRDefault="00B84DD9" w:rsidP="00342542">
      <w:pPr>
        <w:pStyle w:val="Heading3"/>
        <w:rPr>
          <w:rFonts w:cs="Arial"/>
        </w:rPr>
      </w:pPr>
      <w:bookmarkStart w:id="36" w:name="_Toc2084687664"/>
      <w:r w:rsidRPr="54AD4DA9">
        <w:rPr>
          <w:rFonts w:cs="Arial"/>
        </w:rPr>
        <w:t xml:space="preserve">4.1.3 GDPR </w:t>
      </w:r>
      <w:r w:rsidR="004C63A4" w:rsidRPr="54AD4DA9">
        <w:rPr>
          <w:rFonts w:cs="Arial"/>
        </w:rPr>
        <w:t xml:space="preserve">Article </w:t>
      </w:r>
      <w:r w:rsidR="00E44A70" w:rsidRPr="54AD4DA9">
        <w:rPr>
          <w:rFonts w:cs="Arial"/>
        </w:rPr>
        <w:t xml:space="preserve">35 – Assessing risks before they </w:t>
      </w:r>
      <w:bookmarkEnd w:id="36"/>
      <w:r w:rsidR="00447E1C">
        <w:rPr>
          <w:rFonts w:cs="Arial"/>
        </w:rPr>
        <w:t>materialise</w:t>
      </w:r>
    </w:p>
    <w:p w14:paraId="78797F97" w14:textId="2E460266" w:rsidR="00C414B0" w:rsidRPr="0050011A" w:rsidRDefault="00C414B0" w:rsidP="00E44A70">
      <w:pPr>
        <w:rPr>
          <w:rFonts w:cs="Arial"/>
        </w:rPr>
      </w:pPr>
      <w:r w:rsidRPr="0050011A">
        <w:rPr>
          <w:rFonts w:cs="Arial"/>
        </w:rPr>
        <w:t>When a data processing activity</w:t>
      </w:r>
      <w:r w:rsidR="00C34F2D" w:rsidRPr="0050011A">
        <w:rPr>
          <w:rFonts w:cs="Arial"/>
        </w:rPr>
        <w:t xml:space="preserve"> is likely to carry significant risk for individuals, the law requires that th</w:t>
      </w:r>
      <w:r w:rsidR="00282489" w:rsidRPr="0050011A">
        <w:rPr>
          <w:rFonts w:cs="Arial"/>
        </w:rPr>
        <w:t xml:space="preserve">is risk </w:t>
      </w:r>
      <w:r w:rsidR="00227E03">
        <w:rPr>
          <w:rFonts w:cs="Arial"/>
        </w:rPr>
        <w:t>be</w:t>
      </w:r>
      <w:r w:rsidR="00282489" w:rsidRPr="0050011A">
        <w:rPr>
          <w:rFonts w:cs="Arial"/>
        </w:rPr>
        <w:t xml:space="preserve"> examined and addressed before the activity begins. This reflects </w:t>
      </w:r>
      <w:r w:rsidR="0016233B" w:rsidRPr="0050011A">
        <w:rPr>
          <w:rFonts w:cs="Arial"/>
        </w:rPr>
        <w:t xml:space="preserve">the ethical principle </w:t>
      </w:r>
      <w:r w:rsidR="0086570F" w:rsidRPr="0050011A">
        <w:rPr>
          <w:rFonts w:cs="Arial"/>
        </w:rPr>
        <w:t xml:space="preserve">of prevention over cure, </w:t>
      </w:r>
      <w:r w:rsidR="00227E03">
        <w:rPr>
          <w:rFonts w:cs="Arial"/>
        </w:rPr>
        <w:t>which</w:t>
      </w:r>
      <w:r w:rsidR="0086570F" w:rsidRPr="0050011A">
        <w:rPr>
          <w:rFonts w:cs="Arial"/>
        </w:rPr>
        <w:t xml:space="preserve"> is not acceptable to proceed with something potentially harmful</w:t>
      </w:r>
      <w:r w:rsidR="007A1A29" w:rsidRPr="0050011A">
        <w:rPr>
          <w:rFonts w:cs="Arial"/>
        </w:rPr>
        <w:t xml:space="preserve"> and deal with consequences later. </w:t>
      </w:r>
      <w:r w:rsidR="005D21C2" w:rsidRPr="0050011A">
        <w:rPr>
          <w:rFonts w:cs="Arial"/>
        </w:rPr>
        <w:t xml:space="preserve">For the dataspace, </w:t>
      </w:r>
      <w:r w:rsidR="00F81DF5" w:rsidRPr="0050011A">
        <w:rPr>
          <w:rFonts w:cs="Arial"/>
        </w:rPr>
        <w:t>this means that high-risk p</w:t>
      </w:r>
      <w:r w:rsidR="00F22290" w:rsidRPr="0050011A">
        <w:rPr>
          <w:rFonts w:cs="Arial"/>
        </w:rPr>
        <w:t xml:space="preserve">rocessing activities require a formal Data Protection </w:t>
      </w:r>
      <w:r w:rsidR="00A00848" w:rsidRPr="0050011A">
        <w:rPr>
          <w:rFonts w:cs="Arial"/>
        </w:rPr>
        <w:t>Impact Assessment as a precondition, not as a retrospective exe</w:t>
      </w:r>
      <w:r w:rsidR="005914A8" w:rsidRPr="0050011A">
        <w:rPr>
          <w:rFonts w:cs="Arial"/>
        </w:rPr>
        <w:t>rcise.</w:t>
      </w:r>
    </w:p>
    <w:p w14:paraId="0DAF456B" w14:textId="43BE87D3" w:rsidR="009E531E" w:rsidRPr="0050011A" w:rsidRDefault="009E531E" w:rsidP="009E531E">
      <w:pPr>
        <w:pStyle w:val="Heading3"/>
        <w:rPr>
          <w:rFonts w:cs="Arial"/>
        </w:rPr>
      </w:pPr>
      <w:bookmarkStart w:id="37" w:name="_Toc551010788"/>
      <w:r w:rsidRPr="54AD4DA9">
        <w:rPr>
          <w:rFonts w:cs="Arial"/>
        </w:rPr>
        <w:t xml:space="preserve">4.1.4 GDPR Article 30 </w:t>
      </w:r>
      <w:r w:rsidR="005C6491" w:rsidRPr="54AD4DA9">
        <w:rPr>
          <w:rFonts w:cs="Arial"/>
        </w:rPr>
        <w:t>–</w:t>
      </w:r>
      <w:r w:rsidRPr="54AD4DA9">
        <w:rPr>
          <w:rFonts w:cs="Arial"/>
        </w:rPr>
        <w:t xml:space="preserve"> </w:t>
      </w:r>
      <w:r w:rsidR="005C6491" w:rsidRPr="54AD4DA9">
        <w:rPr>
          <w:rFonts w:cs="Arial"/>
        </w:rPr>
        <w:t>Knowing what is being done with data</w:t>
      </w:r>
      <w:bookmarkEnd w:id="37"/>
    </w:p>
    <w:p w14:paraId="015FA338" w14:textId="0E8AD4D6" w:rsidR="00306247" w:rsidRPr="0050011A" w:rsidRDefault="00947280" w:rsidP="005C6491">
      <w:pPr>
        <w:rPr>
          <w:rFonts w:cs="Arial"/>
        </w:rPr>
      </w:pPr>
      <w:r w:rsidRPr="0050011A">
        <w:rPr>
          <w:rFonts w:cs="Arial"/>
        </w:rPr>
        <w:t xml:space="preserve">You cannot </w:t>
      </w:r>
      <w:r w:rsidR="00D72A99" w:rsidRPr="0050011A">
        <w:rPr>
          <w:rFonts w:cs="Arial"/>
        </w:rPr>
        <w:t xml:space="preserve">be held accountable for something </w:t>
      </w:r>
      <w:r w:rsidR="00DA567D" w:rsidRPr="0050011A">
        <w:rPr>
          <w:rFonts w:cs="Arial"/>
        </w:rPr>
        <w:t xml:space="preserve">you have not documented. Article 30 requires </w:t>
      </w:r>
      <w:r w:rsidR="00B51F78" w:rsidRPr="0050011A">
        <w:rPr>
          <w:rFonts w:cs="Arial"/>
        </w:rPr>
        <w:t xml:space="preserve">every participating </w:t>
      </w:r>
      <w:r w:rsidR="00227E03">
        <w:rPr>
          <w:rFonts w:cs="Arial"/>
        </w:rPr>
        <w:t>organisation</w:t>
      </w:r>
      <w:r w:rsidR="00B51F78" w:rsidRPr="0050011A">
        <w:rPr>
          <w:rFonts w:cs="Arial"/>
        </w:rPr>
        <w:t xml:space="preserve"> </w:t>
      </w:r>
      <w:r w:rsidR="00E94A46" w:rsidRPr="0050011A">
        <w:rPr>
          <w:rFonts w:cs="Arial"/>
        </w:rPr>
        <w:t>to maintain clear records of what personal data they hold</w:t>
      </w:r>
      <w:r w:rsidR="00224013" w:rsidRPr="0050011A">
        <w:rPr>
          <w:rFonts w:cs="Arial"/>
        </w:rPr>
        <w:t>, why they hold it, who can a</w:t>
      </w:r>
      <w:r w:rsidR="00C8003E" w:rsidRPr="0050011A">
        <w:rPr>
          <w:rFonts w:cs="Arial"/>
        </w:rPr>
        <w:t>ccess it, and how long it is kept.</w:t>
      </w:r>
      <w:r w:rsidR="00D83F09" w:rsidRPr="0050011A">
        <w:rPr>
          <w:rFonts w:cs="Arial"/>
        </w:rPr>
        <w:t xml:space="preserve"> The underlying principle is that accou</w:t>
      </w:r>
      <w:r w:rsidR="00AC24CC" w:rsidRPr="0050011A">
        <w:rPr>
          <w:rFonts w:cs="Arial"/>
        </w:rPr>
        <w:t>ntability is only meaningful when there is a verifiable record to point to. In a multi-actor dataspace, this obligation rests on each participating party individually.</w:t>
      </w:r>
    </w:p>
    <w:p w14:paraId="488FBEF3" w14:textId="1A25C17C" w:rsidR="009446E8" w:rsidRPr="0050011A" w:rsidRDefault="009446E8" w:rsidP="009446E8">
      <w:pPr>
        <w:pStyle w:val="Heading3"/>
        <w:rPr>
          <w:rFonts w:cs="Arial"/>
        </w:rPr>
      </w:pPr>
      <w:bookmarkStart w:id="38" w:name="_Toc942337484"/>
      <w:r w:rsidRPr="54AD4DA9">
        <w:rPr>
          <w:rFonts w:cs="Arial"/>
        </w:rPr>
        <w:t>4.1.5 Data Governance A</w:t>
      </w:r>
      <w:r w:rsidR="0003131D" w:rsidRPr="54AD4DA9">
        <w:rPr>
          <w:rFonts w:cs="Arial"/>
        </w:rPr>
        <w:t>ct – Keeping intermediaries genuinely neutral</w:t>
      </w:r>
      <w:bookmarkEnd w:id="38"/>
    </w:p>
    <w:p w14:paraId="2DEFADFE" w14:textId="12E39A97" w:rsidR="00AC24CC" w:rsidRPr="0050011A" w:rsidRDefault="00AC24CC" w:rsidP="0003131D">
      <w:pPr>
        <w:rPr>
          <w:rFonts w:cs="Arial"/>
        </w:rPr>
      </w:pPr>
      <w:r w:rsidRPr="0050011A">
        <w:rPr>
          <w:rFonts w:cs="Arial"/>
        </w:rPr>
        <w:t xml:space="preserve">The Data Governance Act </w:t>
      </w:r>
      <w:r w:rsidR="00050355" w:rsidRPr="0050011A">
        <w:rPr>
          <w:rFonts w:cs="Arial"/>
        </w:rPr>
        <w:t>reflects the ethical conviction that parties who faci</w:t>
      </w:r>
      <w:r w:rsidR="00083203" w:rsidRPr="0050011A">
        <w:rPr>
          <w:rFonts w:cs="Arial"/>
        </w:rPr>
        <w:t xml:space="preserve">litate data exchange between others must </w:t>
      </w:r>
      <w:r w:rsidR="007032BD" w:rsidRPr="0050011A">
        <w:rPr>
          <w:rFonts w:cs="Arial"/>
        </w:rPr>
        <w:t>not use</w:t>
      </w:r>
      <w:r w:rsidR="00E25C92" w:rsidRPr="0050011A">
        <w:rPr>
          <w:rFonts w:cs="Arial"/>
        </w:rPr>
        <w:t xml:space="preserve"> that position </w:t>
      </w:r>
      <w:r w:rsidR="00652B27" w:rsidRPr="0050011A">
        <w:rPr>
          <w:rFonts w:cs="Arial"/>
        </w:rPr>
        <w:t>for their own benefit. Inter</w:t>
      </w:r>
      <w:r w:rsidR="006F0A75" w:rsidRPr="0050011A">
        <w:rPr>
          <w:rFonts w:cs="Arial"/>
        </w:rPr>
        <w:t>mediari</w:t>
      </w:r>
      <w:r w:rsidR="00E26B6E" w:rsidRPr="0050011A">
        <w:rPr>
          <w:rFonts w:cs="Arial"/>
        </w:rPr>
        <w:t xml:space="preserve">es </w:t>
      </w:r>
      <w:r w:rsidR="006979A6">
        <w:rPr>
          <w:rFonts w:cs="Arial"/>
        </w:rPr>
        <w:t>should not use</w:t>
      </w:r>
      <w:r w:rsidR="0099793D" w:rsidRPr="0050011A">
        <w:rPr>
          <w:rFonts w:cs="Arial"/>
        </w:rPr>
        <w:t xml:space="preserve"> data commercially a</w:t>
      </w:r>
      <w:r w:rsidR="00FC1E4F" w:rsidRPr="0050011A">
        <w:rPr>
          <w:rFonts w:cs="Arial"/>
        </w:rPr>
        <w:t xml:space="preserve">nd </w:t>
      </w:r>
      <w:r w:rsidR="00227E03">
        <w:rPr>
          <w:rFonts w:cs="Arial"/>
        </w:rPr>
        <w:t>require</w:t>
      </w:r>
      <w:r w:rsidR="00FC1E4F" w:rsidRPr="0050011A">
        <w:rPr>
          <w:rFonts w:cs="Arial"/>
        </w:rPr>
        <w:t xml:space="preserve"> </w:t>
      </w:r>
      <w:r w:rsidR="00BC4FF4" w:rsidRPr="0050011A">
        <w:rPr>
          <w:rFonts w:cs="Arial"/>
        </w:rPr>
        <w:t xml:space="preserve">structural </w:t>
      </w:r>
      <w:r w:rsidR="00612CAB" w:rsidRPr="0050011A">
        <w:rPr>
          <w:rFonts w:cs="Arial"/>
        </w:rPr>
        <w:t>independence from both data providers and data users. Within the data</w:t>
      </w:r>
      <w:r w:rsidR="00DF318C" w:rsidRPr="0050011A">
        <w:rPr>
          <w:rFonts w:cs="Arial"/>
        </w:rPr>
        <w:t>space, any party</w:t>
      </w:r>
      <w:r w:rsidR="00624B4C" w:rsidRPr="0050011A">
        <w:rPr>
          <w:rFonts w:cs="Arial"/>
        </w:rPr>
        <w:t xml:space="preserve"> in an intermediary role must be able to demonstrate this neutrality, not simply state it.</w:t>
      </w:r>
    </w:p>
    <w:p w14:paraId="7BC46F39" w14:textId="06085975" w:rsidR="00B96B5C" w:rsidRPr="0050011A" w:rsidRDefault="00B96B5C" w:rsidP="00B96B5C">
      <w:pPr>
        <w:pStyle w:val="Heading3"/>
        <w:rPr>
          <w:rFonts w:cs="Arial"/>
        </w:rPr>
      </w:pPr>
      <w:bookmarkStart w:id="39" w:name="_Toc1699854963"/>
      <w:r w:rsidRPr="54AD4DA9">
        <w:rPr>
          <w:rFonts w:cs="Arial"/>
        </w:rPr>
        <w:t>4.1.6 Data Act – Agreeing on what data can be used for</w:t>
      </w:r>
      <w:bookmarkEnd w:id="39"/>
    </w:p>
    <w:p w14:paraId="3FC83821" w14:textId="0AB74E94" w:rsidR="00B96B5C" w:rsidRPr="0050011A" w:rsidRDefault="00B96B5C" w:rsidP="00B96B5C">
      <w:pPr>
        <w:rPr>
          <w:rFonts w:cs="Arial"/>
        </w:rPr>
      </w:pPr>
      <w:r w:rsidRPr="0050011A">
        <w:rPr>
          <w:rFonts w:cs="Arial"/>
        </w:rPr>
        <w:t xml:space="preserve">The Data Act introduces requirements </w:t>
      </w:r>
      <w:r w:rsidR="00330106" w:rsidRPr="0050011A">
        <w:rPr>
          <w:rFonts w:cs="Arial"/>
        </w:rPr>
        <w:t xml:space="preserve">around the conditions </w:t>
      </w:r>
      <w:r w:rsidR="001B49C8" w:rsidRPr="0050011A">
        <w:rPr>
          <w:rFonts w:cs="Arial"/>
        </w:rPr>
        <w:t xml:space="preserve">under which data can be shared </w:t>
      </w:r>
      <w:r w:rsidR="00866D1F" w:rsidRPr="0050011A">
        <w:rPr>
          <w:rFonts w:cs="Arial"/>
        </w:rPr>
        <w:t>with and used by thi</w:t>
      </w:r>
      <w:r w:rsidR="00487548" w:rsidRPr="0050011A">
        <w:rPr>
          <w:rFonts w:cs="Arial"/>
        </w:rPr>
        <w:t>rd parties. Practically speaking</w:t>
      </w:r>
      <w:r w:rsidR="00167493" w:rsidRPr="0050011A">
        <w:rPr>
          <w:rFonts w:cs="Arial"/>
        </w:rPr>
        <w:t xml:space="preserve">, this </w:t>
      </w:r>
      <w:r w:rsidR="008259A4" w:rsidRPr="0050011A">
        <w:rPr>
          <w:rFonts w:cs="Arial"/>
        </w:rPr>
        <w:t>means data-sharing agreements must e</w:t>
      </w:r>
      <w:r w:rsidR="00D2509C" w:rsidRPr="0050011A">
        <w:rPr>
          <w:rFonts w:cs="Arial"/>
        </w:rPr>
        <w:t xml:space="preserve">xplicitly </w:t>
      </w:r>
      <w:r w:rsidR="00D2509C" w:rsidRPr="0050011A">
        <w:rPr>
          <w:rFonts w:cs="Arial"/>
        </w:rPr>
        <w:lastRenderedPageBreak/>
        <w:t xml:space="preserve">state what the data can be used for, and reuse beyond that scope must require a new agreement. </w:t>
      </w:r>
      <w:r w:rsidR="001C019D" w:rsidRPr="0050011A">
        <w:rPr>
          <w:rFonts w:cs="Arial"/>
        </w:rPr>
        <w:t xml:space="preserve">Unclear or open-ended </w:t>
      </w:r>
      <w:r w:rsidR="006979A6">
        <w:rPr>
          <w:rFonts w:cs="Arial"/>
        </w:rPr>
        <w:t>hiring</w:t>
      </w:r>
      <w:r w:rsidR="00351C79" w:rsidRPr="0050011A">
        <w:rPr>
          <w:rFonts w:cs="Arial"/>
        </w:rPr>
        <w:t xml:space="preserve"> conditions are not </w:t>
      </w:r>
      <w:r w:rsidR="006979A6">
        <w:rPr>
          <w:rFonts w:cs="Arial"/>
        </w:rPr>
        <w:t>compliant</w:t>
      </w:r>
      <w:r w:rsidR="00351C79" w:rsidRPr="0050011A">
        <w:rPr>
          <w:rFonts w:cs="Arial"/>
        </w:rPr>
        <w:t>.</w:t>
      </w:r>
    </w:p>
    <w:p w14:paraId="18128174" w14:textId="60FE8A44" w:rsidR="00624B4C" w:rsidRPr="0050011A" w:rsidRDefault="00B172BF" w:rsidP="00B96B5C">
      <w:pPr>
        <w:rPr>
          <w:rFonts w:cs="Arial"/>
        </w:rPr>
      </w:pPr>
      <w:r w:rsidRPr="0050011A">
        <w:rPr>
          <w:rFonts w:cs="Arial"/>
        </w:rPr>
        <w:t xml:space="preserve">The Data Act </w:t>
      </w:r>
      <w:r w:rsidR="000F4EB5" w:rsidRPr="0050011A">
        <w:rPr>
          <w:rFonts w:cs="Arial"/>
        </w:rPr>
        <w:t>is built on the idea</w:t>
      </w:r>
      <w:r w:rsidR="004362B2" w:rsidRPr="0050011A">
        <w:rPr>
          <w:rFonts w:cs="Arial"/>
        </w:rPr>
        <w:t xml:space="preserve"> </w:t>
      </w:r>
      <w:r w:rsidR="00EA6C3A" w:rsidRPr="0050011A">
        <w:rPr>
          <w:rFonts w:cs="Arial"/>
        </w:rPr>
        <w:t xml:space="preserve">that data providers should </w:t>
      </w:r>
      <w:r w:rsidR="00757980" w:rsidRPr="0050011A">
        <w:rPr>
          <w:rFonts w:cs="Arial"/>
        </w:rPr>
        <w:t xml:space="preserve">retain meaningful </w:t>
      </w:r>
      <w:r w:rsidR="00B2333A" w:rsidRPr="0050011A">
        <w:rPr>
          <w:rFonts w:cs="Arial"/>
        </w:rPr>
        <w:t xml:space="preserve">say over what happens to their data </w:t>
      </w:r>
      <w:r w:rsidR="00F40399" w:rsidRPr="0050011A">
        <w:rPr>
          <w:rFonts w:cs="Arial"/>
        </w:rPr>
        <w:t xml:space="preserve">after it is shared. Sharing data with a </w:t>
      </w:r>
      <w:r w:rsidR="00557A86" w:rsidRPr="0050011A">
        <w:rPr>
          <w:rFonts w:cs="Arial"/>
        </w:rPr>
        <w:t>third</w:t>
      </w:r>
      <w:r w:rsidR="006979A6">
        <w:rPr>
          <w:rFonts w:cs="Arial"/>
        </w:rPr>
        <w:t>-party</w:t>
      </w:r>
      <w:r w:rsidR="00F40399" w:rsidRPr="0050011A">
        <w:rPr>
          <w:rFonts w:cs="Arial"/>
        </w:rPr>
        <w:t xml:space="preserve"> data party does not grant </w:t>
      </w:r>
      <w:r w:rsidR="0073146A" w:rsidRPr="0050011A">
        <w:rPr>
          <w:rFonts w:cs="Arial"/>
        </w:rPr>
        <w:t xml:space="preserve">that party </w:t>
      </w:r>
      <w:r w:rsidR="002D09E0" w:rsidRPr="0050011A">
        <w:rPr>
          <w:rFonts w:cs="Arial"/>
        </w:rPr>
        <w:t xml:space="preserve">unlimited </w:t>
      </w:r>
      <w:r w:rsidR="001E1F2D" w:rsidRPr="0050011A">
        <w:rPr>
          <w:rFonts w:cs="Arial"/>
        </w:rPr>
        <w:t xml:space="preserve">rights </w:t>
      </w:r>
      <w:r w:rsidR="00FC55B5" w:rsidRPr="0050011A">
        <w:rPr>
          <w:rFonts w:cs="Arial"/>
        </w:rPr>
        <w:t>to use it</w:t>
      </w:r>
      <w:r w:rsidR="00401D14" w:rsidRPr="0050011A">
        <w:rPr>
          <w:rFonts w:cs="Arial"/>
        </w:rPr>
        <w:t xml:space="preserve"> however they choose. The law requires that data-sharing agreements </w:t>
      </w:r>
      <w:r w:rsidR="00A769B5" w:rsidRPr="0050011A">
        <w:rPr>
          <w:rFonts w:cs="Arial"/>
        </w:rPr>
        <w:t>explici</w:t>
      </w:r>
      <w:r w:rsidR="008C4089" w:rsidRPr="0050011A">
        <w:rPr>
          <w:rFonts w:cs="Arial"/>
        </w:rPr>
        <w:t xml:space="preserve">tly </w:t>
      </w:r>
      <w:r w:rsidR="00E120AF" w:rsidRPr="0050011A">
        <w:rPr>
          <w:rFonts w:cs="Arial"/>
        </w:rPr>
        <w:t xml:space="preserve">define </w:t>
      </w:r>
      <w:r w:rsidR="00BA1C7A" w:rsidRPr="0050011A">
        <w:rPr>
          <w:rFonts w:cs="Arial"/>
        </w:rPr>
        <w:t xml:space="preserve">the scope of permitted </w:t>
      </w:r>
      <w:r w:rsidR="00FA558A" w:rsidRPr="0050011A">
        <w:rPr>
          <w:rFonts w:cs="Arial"/>
        </w:rPr>
        <w:t>use,</w:t>
      </w:r>
      <w:r w:rsidR="002A5832" w:rsidRPr="0050011A">
        <w:rPr>
          <w:rFonts w:cs="Arial"/>
        </w:rPr>
        <w:t xml:space="preserve"> and </w:t>
      </w:r>
      <w:r w:rsidR="00C278DA" w:rsidRPr="0050011A">
        <w:rPr>
          <w:rFonts w:cs="Arial"/>
        </w:rPr>
        <w:t xml:space="preserve">that any use beyond that scope requires </w:t>
      </w:r>
      <w:r w:rsidR="00A4670D" w:rsidRPr="0050011A">
        <w:rPr>
          <w:rFonts w:cs="Arial"/>
        </w:rPr>
        <w:t>a renewed</w:t>
      </w:r>
      <w:r w:rsidR="008B5745" w:rsidRPr="0050011A">
        <w:rPr>
          <w:rFonts w:cs="Arial"/>
        </w:rPr>
        <w:t xml:space="preserve"> agreement. For </w:t>
      </w:r>
      <w:r w:rsidR="00737744" w:rsidRPr="0050011A">
        <w:rPr>
          <w:rFonts w:cs="Arial"/>
        </w:rPr>
        <w:t xml:space="preserve">the dataspace, open-ended or </w:t>
      </w:r>
      <w:r w:rsidR="00F44030" w:rsidRPr="0050011A">
        <w:rPr>
          <w:rFonts w:cs="Arial"/>
        </w:rPr>
        <w:t xml:space="preserve">unclear sharing conditions </w:t>
      </w:r>
      <w:r w:rsidR="0048137D" w:rsidRPr="0050011A">
        <w:rPr>
          <w:rFonts w:cs="Arial"/>
        </w:rPr>
        <w:t>are not compliant, and more importantly, they are not fair.</w:t>
      </w:r>
    </w:p>
    <w:p w14:paraId="3B68037A" w14:textId="15BC3A9D" w:rsidR="00351C79" w:rsidRPr="0050011A" w:rsidRDefault="00292F56" w:rsidP="00351C79">
      <w:pPr>
        <w:pStyle w:val="Heading3"/>
        <w:rPr>
          <w:rFonts w:cs="Arial"/>
        </w:rPr>
      </w:pPr>
      <w:bookmarkStart w:id="40" w:name="_Toc1657591827"/>
      <w:r w:rsidRPr="54AD4DA9">
        <w:rPr>
          <w:rFonts w:cs="Arial"/>
        </w:rPr>
        <w:t xml:space="preserve">4.1.7 NIS2 – Keeping the system that </w:t>
      </w:r>
      <w:r w:rsidR="006979A6">
        <w:rPr>
          <w:rFonts w:cs="Arial"/>
        </w:rPr>
        <w:t>carries</w:t>
      </w:r>
      <w:r w:rsidRPr="54AD4DA9">
        <w:rPr>
          <w:rFonts w:cs="Arial"/>
        </w:rPr>
        <w:t xml:space="preserve"> data secure</w:t>
      </w:r>
      <w:bookmarkEnd w:id="40"/>
    </w:p>
    <w:p w14:paraId="13422F47" w14:textId="2241F9FC" w:rsidR="004D1140" w:rsidRPr="0050011A" w:rsidRDefault="0056500E" w:rsidP="00292F56">
      <w:pPr>
        <w:rPr>
          <w:rFonts w:cs="Arial"/>
        </w:rPr>
      </w:pPr>
      <w:r w:rsidRPr="0050011A">
        <w:rPr>
          <w:rFonts w:cs="Arial"/>
        </w:rPr>
        <w:t xml:space="preserve">NIS2 reflects the principles that digital </w:t>
      </w:r>
      <w:r w:rsidR="009748A2" w:rsidRPr="0050011A">
        <w:rPr>
          <w:rFonts w:cs="Arial"/>
        </w:rPr>
        <w:t xml:space="preserve">infrastructure </w:t>
      </w:r>
      <w:r w:rsidR="00B101B4" w:rsidRPr="0050011A">
        <w:rPr>
          <w:rFonts w:cs="Arial"/>
        </w:rPr>
        <w:t xml:space="preserve">serving the </w:t>
      </w:r>
      <w:r w:rsidR="000B5CCE" w:rsidRPr="0050011A">
        <w:rPr>
          <w:rFonts w:cs="Arial"/>
        </w:rPr>
        <w:t xml:space="preserve">public must </w:t>
      </w:r>
      <w:r w:rsidR="00AA5DF1" w:rsidRPr="0050011A">
        <w:rPr>
          <w:rFonts w:cs="Arial"/>
        </w:rPr>
        <w:t xml:space="preserve">be </w:t>
      </w:r>
      <w:r w:rsidR="000B5CCE" w:rsidRPr="0050011A">
        <w:rPr>
          <w:rFonts w:cs="Arial"/>
        </w:rPr>
        <w:t xml:space="preserve">actively </w:t>
      </w:r>
      <w:r w:rsidR="004133CA" w:rsidRPr="0050011A">
        <w:rPr>
          <w:rFonts w:cs="Arial"/>
        </w:rPr>
        <w:t>protect</w:t>
      </w:r>
      <w:r w:rsidR="00AA5DF1" w:rsidRPr="0050011A">
        <w:rPr>
          <w:rFonts w:cs="Arial"/>
        </w:rPr>
        <w:t>ed</w:t>
      </w:r>
      <w:r w:rsidR="00B5668E" w:rsidRPr="0050011A">
        <w:rPr>
          <w:rFonts w:cs="Arial"/>
        </w:rPr>
        <w:t>, and t</w:t>
      </w:r>
      <w:r w:rsidR="005449D2" w:rsidRPr="0050011A">
        <w:rPr>
          <w:rFonts w:cs="Arial"/>
        </w:rPr>
        <w:t xml:space="preserve">hat this responsibility cannot be entirely </w:t>
      </w:r>
      <w:r w:rsidR="00B8304B">
        <w:rPr>
          <w:rFonts w:cs="Arial"/>
        </w:rPr>
        <w:t>entrusted</w:t>
      </w:r>
      <w:r w:rsidR="005449D2" w:rsidRPr="0050011A">
        <w:rPr>
          <w:rFonts w:cs="Arial"/>
        </w:rPr>
        <w:t xml:space="preserve"> </w:t>
      </w:r>
      <w:r w:rsidR="000876A9" w:rsidRPr="0050011A">
        <w:rPr>
          <w:rFonts w:cs="Arial"/>
        </w:rPr>
        <w:t>to one party</w:t>
      </w:r>
      <w:r w:rsidR="00EE0782" w:rsidRPr="0050011A">
        <w:rPr>
          <w:rFonts w:cs="Arial"/>
        </w:rPr>
        <w:t xml:space="preserve">. </w:t>
      </w:r>
      <w:r w:rsidR="00B8304B">
        <w:rPr>
          <w:rFonts w:cs="Arial"/>
        </w:rPr>
        <w:t>Organisations</w:t>
      </w:r>
      <w:r w:rsidR="009D1E0A" w:rsidRPr="0050011A">
        <w:rPr>
          <w:rFonts w:cs="Arial"/>
        </w:rPr>
        <w:t xml:space="preserve"> </w:t>
      </w:r>
      <w:r w:rsidR="00F379D4" w:rsidRPr="0050011A">
        <w:rPr>
          <w:rFonts w:cs="Arial"/>
        </w:rPr>
        <w:t xml:space="preserve">operating </w:t>
      </w:r>
      <w:r w:rsidR="00927034" w:rsidRPr="0050011A">
        <w:rPr>
          <w:rFonts w:cs="Arial"/>
        </w:rPr>
        <w:t>criti</w:t>
      </w:r>
      <w:r w:rsidR="004B291E" w:rsidRPr="0050011A">
        <w:rPr>
          <w:rFonts w:cs="Arial"/>
        </w:rPr>
        <w:t xml:space="preserve">cal or important digital systems are required to maintain appropriate </w:t>
      </w:r>
      <w:r w:rsidR="00CD73D9" w:rsidRPr="0050011A">
        <w:rPr>
          <w:rFonts w:cs="Arial"/>
        </w:rPr>
        <w:t xml:space="preserve">security </w:t>
      </w:r>
      <w:r w:rsidR="00582E13" w:rsidRPr="0050011A">
        <w:rPr>
          <w:rFonts w:cs="Arial"/>
        </w:rPr>
        <w:t xml:space="preserve">measures, report incidents </w:t>
      </w:r>
      <w:r w:rsidR="00680F7A" w:rsidRPr="0050011A">
        <w:rPr>
          <w:rFonts w:cs="Arial"/>
        </w:rPr>
        <w:t xml:space="preserve">within defined timeframes, </w:t>
      </w:r>
      <w:r w:rsidR="00DE516F" w:rsidRPr="0050011A">
        <w:rPr>
          <w:rFonts w:cs="Arial"/>
        </w:rPr>
        <w:t xml:space="preserve">and take collective ownership </w:t>
      </w:r>
      <w:r w:rsidR="00BA397B" w:rsidRPr="0050011A">
        <w:rPr>
          <w:rFonts w:cs="Arial"/>
        </w:rPr>
        <w:t>of system re</w:t>
      </w:r>
      <w:r w:rsidR="009A08AE" w:rsidRPr="0050011A">
        <w:rPr>
          <w:rFonts w:cs="Arial"/>
        </w:rPr>
        <w:t>sil</w:t>
      </w:r>
      <w:r w:rsidR="0003624A" w:rsidRPr="0050011A">
        <w:rPr>
          <w:rFonts w:cs="Arial"/>
        </w:rPr>
        <w:t>ience. For the dataspace</w:t>
      </w:r>
      <w:r w:rsidR="00DB47F5" w:rsidRPr="0050011A">
        <w:rPr>
          <w:rFonts w:cs="Arial"/>
        </w:rPr>
        <w:t>, security is not a technical detail to be managed by a single provider, it is a shared governance obligation.</w:t>
      </w:r>
    </w:p>
    <w:p w14:paraId="731961BE" w14:textId="77777777" w:rsidR="00366549" w:rsidRPr="0050011A" w:rsidRDefault="00366549" w:rsidP="00366549">
      <w:pPr>
        <w:pStyle w:val="Heading2"/>
        <w:rPr>
          <w:rFonts w:cs="Arial"/>
        </w:rPr>
      </w:pPr>
      <w:bookmarkStart w:id="41" w:name="_Toc230347184"/>
      <w:bookmarkStart w:id="42" w:name="_Toc126307883"/>
      <w:r w:rsidRPr="54AD4DA9">
        <w:rPr>
          <w:rFonts w:cs="Arial"/>
        </w:rPr>
        <w:t>4.2 Ethical Principles as Governance Requirements</w:t>
      </w:r>
      <w:bookmarkEnd w:id="41"/>
      <w:bookmarkEnd w:id="42"/>
    </w:p>
    <w:p w14:paraId="592AD461" w14:textId="015089FA" w:rsidR="00363596" w:rsidRPr="0050011A" w:rsidRDefault="005322E2" w:rsidP="00363596">
      <w:pPr>
        <w:rPr>
          <w:rFonts w:cs="Arial"/>
        </w:rPr>
      </w:pPr>
      <w:r w:rsidRPr="0050011A">
        <w:rPr>
          <w:rFonts w:cs="Arial"/>
        </w:rPr>
        <w:t xml:space="preserve">Ethical principles become meaningful in a governance framework when they are translated into </w:t>
      </w:r>
      <w:r w:rsidR="00F1546D" w:rsidRPr="0050011A">
        <w:rPr>
          <w:rFonts w:cs="Arial"/>
        </w:rPr>
        <w:t>concrete responsibilities and procedures. The principles identified in research question 1</w:t>
      </w:r>
      <w:r w:rsidR="00C35975" w:rsidRPr="0050011A">
        <w:rPr>
          <w:rFonts w:cs="Arial"/>
        </w:rPr>
        <w:t xml:space="preserve"> should therefore not be viewed as abstract v</w:t>
      </w:r>
      <w:r w:rsidR="007B53A9" w:rsidRPr="0050011A">
        <w:rPr>
          <w:rFonts w:cs="Arial"/>
        </w:rPr>
        <w:t xml:space="preserve">alues. Each one points to a specific gap in the current situation and </w:t>
      </w:r>
      <w:r w:rsidR="007D763E" w:rsidRPr="0050011A">
        <w:rPr>
          <w:rFonts w:cs="Arial"/>
        </w:rPr>
        <w:t xml:space="preserve">serves as a basis for </w:t>
      </w:r>
      <w:r w:rsidR="00602EE4" w:rsidRPr="0050011A">
        <w:rPr>
          <w:rFonts w:cs="Arial"/>
        </w:rPr>
        <w:t>procedural</w:t>
      </w:r>
      <w:r w:rsidR="007D763E" w:rsidRPr="0050011A">
        <w:rPr>
          <w:rFonts w:cs="Arial"/>
        </w:rPr>
        <w:t xml:space="preserve"> and </w:t>
      </w:r>
      <w:r w:rsidR="00B8304B">
        <w:rPr>
          <w:rFonts w:cs="Arial"/>
        </w:rPr>
        <w:t>organisational</w:t>
      </w:r>
      <w:r w:rsidR="007D763E" w:rsidRPr="0050011A">
        <w:rPr>
          <w:rFonts w:cs="Arial"/>
        </w:rPr>
        <w:t xml:space="preserve"> requirements. This section translates those </w:t>
      </w:r>
      <w:r w:rsidR="00EB7DEB" w:rsidRPr="0050011A">
        <w:rPr>
          <w:rFonts w:cs="Arial"/>
        </w:rPr>
        <w:t xml:space="preserve">ethical principles into governance requirements. </w:t>
      </w:r>
    </w:p>
    <w:p w14:paraId="38A20938" w14:textId="24450F63" w:rsidR="00EB7DEB" w:rsidRPr="0050011A" w:rsidRDefault="003D2F35" w:rsidP="00AC3FEB">
      <w:pPr>
        <w:pStyle w:val="Heading3"/>
        <w:rPr>
          <w:rFonts w:cs="Arial"/>
        </w:rPr>
      </w:pPr>
      <w:bookmarkStart w:id="43" w:name="_Toc382254619"/>
      <w:r w:rsidRPr="54AD4DA9">
        <w:rPr>
          <w:rFonts w:cs="Arial"/>
        </w:rPr>
        <w:t>4.2.1 Privacy</w:t>
      </w:r>
      <w:r w:rsidR="0019688B" w:rsidRPr="54AD4DA9">
        <w:rPr>
          <w:rFonts w:cs="Arial"/>
        </w:rPr>
        <w:t>: Re</w:t>
      </w:r>
      <w:r w:rsidR="00A14FC0" w:rsidRPr="54AD4DA9">
        <w:rPr>
          <w:rFonts w:cs="Arial"/>
        </w:rPr>
        <w:t>-identification Assessment Procedure</w:t>
      </w:r>
      <w:bookmarkEnd w:id="43"/>
    </w:p>
    <w:p w14:paraId="3F6CA606" w14:textId="710B2CAB" w:rsidR="00AC3FEB" w:rsidRPr="0050011A" w:rsidRDefault="002E72F2" w:rsidP="00AC3FEB">
      <w:pPr>
        <w:rPr>
          <w:rFonts w:cs="Arial"/>
        </w:rPr>
      </w:pPr>
      <w:r w:rsidRPr="0050011A">
        <w:rPr>
          <w:rFonts w:cs="Arial"/>
        </w:rPr>
        <w:t xml:space="preserve">The principle of privacy </w:t>
      </w:r>
      <w:r w:rsidR="00B8304B">
        <w:rPr>
          <w:rFonts w:cs="Arial"/>
        </w:rPr>
        <w:t>extends</w:t>
      </w:r>
      <w:r w:rsidRPr="0050011A">
        <w:rPr>
          <w:rFonts w:cs="Arial"/>
        </w:rPr>
        <w:t xml:space="preserve"> beyond the </w:t>
      </w:r>
      <w:r w:rsidR="00B8304B">
        <w:rPr>
          <w:rFonts w:cs="Arial"/>
        </w:rPr>
        <w:t>anonymisation</w:t>
      </w:r>
      <w:r w:rsidRPr="0050011A">
        <w:rPr>
          <w:rFonts w:cs="Arial"/>
        </w:rPr>
        <w:t xml:space="preserve"> of data at the point of collection. It requires continuous safeguards to ensure that individuals remain protected </w:t>
      </w:r>
      <w:r w:rsidR="00B8304B">
        <w:rPr>
          <w:rFonts w:cs="Arial"/>
        </w:rPr>
        <w:t>throughout</w:t>
      </w:r>
      <w:r w:rsidRPr="0050011A">
        <w:rPr>
          <w:rFonts w:cs="Arial"/>
        </w:rPr>
        <w:t xml:space="preserve"> the entire data life cycle. Within the Inzicht Verlicht dataspace, traffic flow and acoustic data collected at</w:t>
      </w:r>
      <w:r w:rsidR="00AC0668" w:rsidRPr="0050011A">
        <w:rPr>
          <w:rFonts w:cs="Arial"/>
        </w:rPr>
        <w:t xml:space="preserve"> the J.F. Kennedylaan intersection</w:t>
      </w:r>
      <w:r w:rsidR="00831376" w:rsidRPr="0050011A">
        <w:rPr>
          <w:rFonts w:cs="Arial"/>
        </w:rPr>
        <w:t xml:space="preserve">, when combined with other datasets, </w:t>
      </w:r>
      <w:r w:rsidR="00831443" w:rsidRPr="0050011A">
        <w:rPr>
          <w:rFonts w:cs="Arial"/>
        </w:rPr>
        <w:t xml:space="preserve">could </w:t>
      </w:r>
      <w:r w:rsidR="001F340C" w:rsidRPr="0050011A">
        <w:rPr>
          <w:rFonts w:cs="Arial"/>
        </w:rPr>
        <w:t>create</w:t>
      </w:r>
      <w:r w:rsidR="00831443" w:rsidRPr="0050011A">
        <w:rPr>
          <w:rFonts w:cs="Arial"/>
        </w:rPr>
        <w:t xml:space="preserve"> the possibility of identifying individual movement patterns. To address this risk, a formal re-identification risk assessment procedure is required. Before a dataset is made openly available or shared with external parties, </w:t>
      </w:r>
      <w:r w:rsidR="00B8304B">
        <w:rPr>
          <w:rFonts w:cs="Arial"/>
        </w:rPr>
        <w:t>an</w:t>
      </w:r>
      <w:r w:rsidR="00831443" w:rsidRPr="0050011A">
        <w:rPr>
          <w:rFonts w:cs="Arial"/>
        </w:rPr>
        <w:t xml:space="preserve"> assessment should verify that individuals cannot be identified. Either directly or through linkage with external data sources. </w:t>
      </w:r>
      <w:r w:rsidR="007E0023" w:rsidRPr="0050011A">
        <w:rPr>
          <w:rFonts w:cs="Arial"/>
        </w:rPr>
        <w:t>Such assessments should not be treated as a one-time exercise but should be conducted periodically and whenever new datasets are incorporated into the dataspace</w:t>
      </w:r>
      <w:r w:rsidR="00C00BD4" w:rsidRPr="0050011A">
        <w:rPr>
          <w:rFonts w:cs="Arial"/>
        </w:rPr>
        <w:t>, as the</w:t>
      </w:r>
      <w:r w:rsidR="007C6A41" w:rsidRPr="0050011A">
        <w:rPr>
          <w:rFonts w:cs="Arial"/>
        </w:rPr>
        <w:t xml:space="preserve"> DS4SSCC Blueprint</w:t>
      </w:r>
      <w:r w:rsidR="00C00BD4" w:rsidRPr="0050011A">
        <w:rPr>
          <w:rFonts w:cs="Arial"/>
        </w:rPr>
        <w:t xml:space="preserve"> recommends. </w:t>
      </w:r>
    </w:p>
    <w:p w14:paraId="3233478D" w14:textId="11D8C64F" w:rsidR="00A14FC0" w:rsidRPr="0050011A" w:rsidRDefault="00A14FC0" w:rsidP="00AC3FEB">
      <w:pPr>
        <w:pStyle w:val="Heading3"/>
        <w:rPr>
          <w:rFonts w:cs="Arial"/>
        </w:rPr>
      </w:pPr>
      <w:bookmarkStart w:id="44" w:name="_Toc1365640517"/>
      <w:r w:rsidRPr="54AD4DA9">
        <w:rPr>
          <w:rFonts w:cs="Arial"/>
        </w:rPr>
        <w:t>4.2.2 Transparency: Audit Log and Citizen Communication Obligations</w:t>
      </w:r>
      <w:bookmarkEnd w:id="44"/>
    </w:p>
    <w:p w14:paraId="7165C157" w14:textId="33A27E25" w:rsidR="00EB30CC" w:rsidRPr="0050011A" w:rsidRDefault="00F72E08" w:rsidP="00EB30CC">
      <w:pPr>
        <w:rPr>
          <w:rFonts w:cs="Arial"/>
        </w:rPr>
      </w:pPr>
      <w:r w:rsidRPr="0050011A">
        <w:rPr>
          <w:rFonts w:cs="Arial"/>
        </w:rPr>
        <w:t>Transparency means that citizens and participants can understand what data is collected,</w:t>
      </w:r>
      <w:r w:rsidR="000E3ED0" w:rsidRPr="0050011A">
        <w:rPr>
          <w:rFonts w:cs="Arial"/>
        </w:rPr>
        <w:t xml:space="preserve"> who is responsible for collecting it, for which purpose it is used and what outcomes result from its use. At the moment, the Inzicht Verlicht dataspace provides limited visibility into these aspects. Citizens are not </w:t>
      </w:r>
      <w:r w:rsidR="00803072" w:rsidRPr="0050011A">
        <w:rPr>
          <w:rFonts w:cs="Arial"/>
        </w:rPr>
        <w:t>visible communications to citizens about the data collection</w:t>
      </w:r>
      <w:r w:rsidR="003D22EB" w:rsidRPr="0050011A">
        <w:rPr>
          <w:rFonts w:cs="Arial"/>
        </w:rPr>
        <w:t xml:space="preserve"> </w:t>
      </w:r>
      <w:r w:rsidR="004377DF" w:rsidRPr="0050011A">
        <w:rPr>
          <w:rFonts w:cs="Arial"/>
        </w:rPr>
        <w:t>takin</w:t>
      </w:r>
      <w:r w:rsidR="003D22EB" w:rsidRPr="0050011A">
        <w:rPr>
          <w:rFonts w:cs="Arial"/>
        </w:rPr>
        <w:t>g</w:t>
      </w:r>
      <w:r w:rsidR="004377DF" w:rsidRPr="0050011A">
        <w:rPr>
          <w:rFonts w:cs="Arial"/>
        </w:rPr>
        <w:t xml:space="preserve"> place at the </w:t>
      </w:r>
      <w:r w:rsidR="00F256A2" w:rsidRPr="0050011A">
        <w:rPr>
          <w:rFonts w:cs="Arial"/>
        </w:rPr>
        <w:t>J.F. Kennedylaan intersection</w:t>
      </w:r>
      <w:r w:rsidR="00B8304B">
        <w:rPr>
          <w:rFonts w:cs="Arial"/>
        </w:rPr>
        <w:t>,</w:t>
      </w:r>
      <w:r w:rsidR="00F256A2" w:rsidRPr="0050011A">
        <w:rPr>
          <w:rFonts w:cs="Arial"/>
        </w:rPr>
        <w:t xml:space="preserve"> and there is no </w:t>
      </w:r>
      <w:r w:rsidR="0035566D" w:rsidRPr="0050011A">
        <w:rPr>
          <w:rFonts w:cs="Arial"/>
        </w:rPr>
        <w:t>audit trail that allows data usage to be verified</w:t>
      </w:r>
      <w:r w:rsidR="00C2615C" w:rsidRPr="0050011A">
        <w:rPr>
          <w:rFonts w:cs="Arial"/>
        </w:rPr>
        <w:t xml:space="preserve">. </w:t>
      </w:r>
    </w:p>
    <w:p w14:paraId="5A451191" w14:textId="2FF7D6E9" w:rsidR="004076A3" w:rsidRPr="0050011A" w:rsidRDefault="004076A3" w:rsidP="00EB30CC">
      <w:pPr>
        <w:rPr>
          <w:rFonts w:cs="Arial"/>
        </w:rPr>
      </w:pPr>
      <w:r w:rsidRPr="0050011A">
        <w:rPr>
          <w:rFonts w:cs="Arial"/>
        </w:rPr>
        <w:t xml:space="preserve">To address these shortcomings, </w:t>
      </w:r>
      <w:r w:rsidR="00877AAD" w:rsidRPr="0050011A">
        <w:rPr>
          <w:rFonts w:cs="Arial"/>
        </w:rPr>
        <w:t xml:space="preserve">there are </w:t>
      </w:r>
      <w:r w:rsidRPr="0050011A">
        <w:rPr>
          <w:rFonts w:cs="Arial"/>
        </w:rPr>
        <w:t xml:space="preserve">two governance requirements </w:t>
      </w:r>
      <w:r w:rsidR="00877AAD" w:rsidRPr="0050011A">
        <w:rPr>
          <w:rFonts w:cs="Arial"/>
        </w:rPr>
        <w:t xml:space="preserve">that come up. First, an audit log </w:t>
      </w:r>
      <w:r w:rsidR="00805BF6" w:rsidRPr="0050011A">
        <w:rPr>
          <w:rFonts w:cs="Arial"/>
        </w:rPr>
        <w:t xml:space="preserve">must be </w:t>
      </w:r>
      <w:r w:rsidR="003D22EB" w:rsidRPr="0050011A">
        <w:rPr>
          <w:rFonts w:cs="Arial"/>
        </w:rPr>
        <w:t>maintained</w:t>
      </w:r>
      <w:r w:rsidR="00805BF6" w:rsidRPr="0050011A">
        <w:rPr>
          <w:rFonts w:cs="Arial"/>
        </w:rPr>
        <w:t xml:space="preserve"> for all data access and exchange events within the dataspace. In the audit log, </w:t>
      </w:r>
      <w:r w:rsidR="00DC5244">
        <w:rPr>
          <w:rFonts w:cs="Arial"/>
        </w:rPr>
        <w:t>it</w:t>
      </w:r>
      <w:r w:rsidR="00805BF6" w:rsidRPr="0050011A">
        <w:rPr>
          <w:rFonts w:cs="Arial"/>
        </w:rPr>
        <w:t xml:space="preserve"> must be recorded who </w:t>
      </w:r>
      <w:r w:rsidR="005F180F" w:rsidRPr="0050011A">
        <w:rPr>
          <w:rFonts w:cs="Arial"/>
        </w:rPr>
        <w:t xml:space="preserve">accessed what, when </w:t>
      </w:r>
      <w:r w:rsidR="00706D60" w:rsidRPr="0050011A">
        <w:rPr>
          <w:rFonts w:cs="Arial"/>
        </w:rPr>
        <w:t xml:space="preserve">and under which agreement </w:t>
      </w:r>
      <w:r w:rsidR="00D93716" w:rsidRPr="0050011A">
        <w:rPr>
          <w:rFonts w:cs="Arial"/>
        </w:rPr>
        <w:t>or permission access was granted. Second, a formal citizen</w:t>
      </w:r>
      <w:r w:rsidR="00A81F6B" w:rsidRPr="0050011A">
        <w:rPr>
          <w:rFonts w:cs="Arial"/>
        </w:rPr>
        <w:t xml:space="preserve"> communication standard should be established, defining how information about </w:t>
      </w:r>
      <w:r w:rsidR="0051003C" w:rsidRPr="0050011A">
        <w:rPr>
          <w:rFonts w:cs="Arial"/>
        </w:rPr>
        <w:t xml:space="preserve">data collection activities is communicated, where it is made available and through which channels citizens are able to request additional information or raise concerns </w:t>
      </w:r>
      <w:r w:rsidR="00DC5244">
        <w:rPr>
          <w:rFonts w:cs="Arial"/>
        </w:rPr>
        <w:t>about</w:t>
      </w:r>
      <w:r w:rsidR="0051003C" w:rsidRPr="0050011A">
        <w:rPr>
          <w:rFonts w:cs="Arial"/>
        </w:rPr>
        <w:t xml:space="preserve"> the data </w:t>
      </w:r>
      <w:r w:rsidR="0051003C" w:rsidRPr="0050011A">
        <w:rPr>
          <w:rFonts w:cs="Arial"/>
        </w:rPr>
        <w:lastRenderedPageBreak/>
        <w:t xml:space="preserve">gathering. Together, these measures are essential for ensuring </w:t>
      </w:r>
      <w:r w:rsidR="003D22EB" w:rsidRPr="0050011A">
        <w:rPr>
          <w:rFonts w:cs="Arial"/>
        </w:rPr>
        <w:t>transparency</w:t>
      </w:r>
      <w:r w:rsidR="0051003C" w:rsidRPr="0050011A">
        <w:rPr>
          <w:rFonts w:cs="Arial"/>
        </w:rPr>
        <w:t xml:space="preserve"> and </w:t>
      </w:r>
      <w:r w:rsidR="003D22EB" w:rsidRPr="0050011A">
        <w:rPr>
          <w:rFonts w:cs="Arial"/>
        </w:rPr>
        <w:t>maintaining</w:t>
      </w:r>
      <w:r w:rsidR="0051003C" w:rsidRPr="0050011A">
        <w:rPr>
          <w:rFonts w:cs="Arial"/>
        </w:rPr>
        <w:t xml:space="preserve"> the </w:t>
      </w:r>
      <w:r w:rsidR="003D22EB" w:rsidRPr="0050011A">
        <w:rPr>
          <w:rFonts w:cs="Arial"/>
        </w:rPr>
        <w:t>legitimacy of a public-sector dataspace.</w:t>
      </w:r>
    </w:p>
    <w:p w14:paraId="417AD882" w14:textId="1D996D4D" w:rsidR="00A14FC0" w:rsidRPr="0050011A" w:rsidRDefault="00A14FC0" w:rsidP="00AC3FEB">
      <w:pPr>
        <w:pStyle w:val="Heading3"/>
        <w:rPr>
          <w:rFonts w:cs="Arial"/>
        </w:rPr>
      </w:pPr>
      <w:bookmarkStart w:id="45" w:name="_Toc386861689"/>
      <w:r w:rsidRPr="54AD4DA9">
        <w:rPr>
          <w:rFonts w:cs="Arial"/>
        </w:rPr>
        <w:t xml:space="preserve">4.2.3 Accountability: Named Responsible Actor for Data </w:t>
      </w:r>
      <w:bookmarkEnd w:id="45"/>
      <w:r w:rsidR="00DC5244">
        <w:rPr>
          <w:rFonts w:cs="Arial"/>
        </w:rPr>
        <w:t>Activity</w:t>
      </w:r>
    </w:p>
    <w:p w14:paraId="0ED94070" w14:textId="6B854874" w:rsidR="005D17D8" w:rsidRPr="0050011A" w:rsidRDefault="002C5D2D" w:rsidP="004C04C0">
      <w:pPr>
        <w:rPr>
          <w:rFonts w:cs="Arial"/>
        </w:rPr>
      </w:pPr>
      <w:r w:rsidRPr="0050011A">
        <w:rPr>
          <w:rFonts w:cs="Arial"/>
        </w:rPr>
        <w:t>The principle of accountability requires that</w:t>
      </w:r>
      <w:r w:rsidR="001E6538" w:rsidRPr="0050011A">
        <w:rPr>
          <w:rFonts w:cs="Arial"/>
        </w:rPr>
        <w:t xml:space="preserve"> every data activity in the dataspace can be traced back to a specifi</w:t>
      </w:r>
      <w:r w:rsidR="00FF1E8A" w:rsidRPr="0050011A">
        <w:rPr>
          <w:rFonts w:cs="Arial"/>
        </w:rPr>
        <w:t xml:space="preserve">c </w:t>
      </w:r>
      <w:r w:rsidR="001E6538" w:rsidRPr="0050011A">
        <w:rPr>
          <w:rFonts w:cs="Arial"/>
        </w:rPr>
        <w:t xml:space="preserve">person or </w:t>
      </w:r>
      <w:r w:rsidR="00DC5244">
        <w:rPr>
          <w:rFonts w:cs="Arial"/>
        </w:rPr>
        <w:t>organisation</w:t>
      </w:r>
      <w:r w:rsidR="001E6538" w:rsidRPr="0050011A">
        <w:rPr>
          <w:rFonts w:cs="Arial"/>
        </w:rPr>
        <w:t xml:space="preserve"> that bears the responsibi</w:t>
      </w:r>
      <w:r w:rsidR="0007156E" w:rsidRPr="0050011A">
        <w:rPr>
          <w:rFonts w:cs="Arial"/>
        </w:rPr>
        <w:t xml:space="preserve">lity for it. In the current situation, the absence of a governance role mapping means that when something goes wrong, no party is formally designated to respond. </w:t>
      </w:r>
      <w:r w:rsidR="00AC4C65" w:rsidRPr="0050011A">
        <w:rPr>
          <w:rFonts w:cs="Arial"/>
        </w:rPr>
        <w:t xml:space="preserve">To address this gap, each governance process must be linked to a </w:t>
      </w:r>
      <w:r w:rsidR="00B40513" w:rsidRPr="0050011A">
        <w:rPr>
          <w:rFonts w:cs="Arial"/>
        </w:rPr>
        <w:t>designated respon</w:t>
      </w:r>
      <w:r w:rsidR="00B13215" w:rsidRPr="0050011A">
        <w:rPr>
          <w:rFonts w:cs="Arial"/>
        </w:rPr>
        <w:t xml:space="preserve">sible actor. This applies to activities </w:t>
      </w:r>
      <w:r w:rsidR="00882404" w:rsidRPr="0050011A">
        <w:rPr>
          <w:rFonts w:cs="Arial"/>
        </w:rPr>
        <w:t xml:space="preserve">such as onboarding new datasets, approving data access </w:t>
      </w:r>
      <w:r w:rsidR="00DC5244">
        <w:rPr>
          <w:rFonts w:cs="Arial"/>
        </w:rPr>
        <w:t>requests,</w:t>
      </w:r>
      <w:r w:rsidR="00882404" w:rsidRPr="0050011A">
        <w:rPr>
          <w:rFonts w:cs="Arial"/>
        </w:rPr>
        <w:t xml:space="preserve"> and conducting ethical or privacy assessments. </w:t>
      </w:r>
      <w:r w:rsidR="00254276" w:rsidRPr="0050011A">
        <w:rPr>
          <w:rFonts w:cs="Arial"/>
        </w:rPr>
        <w:t xml:space="preserve">Accountability is </w:t>
      </w:r>
      <w:r w:rsidR="00DC5244">
        <w:rPr>
          <w:rFonts w:cs="Arial"/>
        </w:rPr>
        <w:t>operationalised</w:t>
      </w:r>
      <w:r w:rsidR="00254276" w:rsidRPr="0050011A">
        <w:rPr>
          <w:rFonts w:cs="Arial"/>
        </w:rPr>
        <w:t xml:space="preserve"> through the governance roles defined in section 5.1 </w:t>
      </w:r>
      <w:r w:rsidR="002A77A6" w:rsidRPr="0050011A">
        <w:rPr>
          <w:rFonts w:cs="Arial"/>
        </w:rPr>
        <w:t xml:space="preserve">as well as the requirements that every participating </w:t>
      </w:r>
      <w:r w:rsidR="00DC5244">
        <w:rPr>
          <w:rFonts w:cs="Arial"/>
        </w:rPr>
        <w:t>organisation</w:t>
      </w:r>
      <w:r w:rsidR="002A77A6" w:rsidRPr="0050011A">
        <w:rPr>
          <w:rFonts w:cs="Arial"/>
        </w:rPr>
        <w:t xml:space="preserve"> appoints a </w:t>
      </w:r>
      <w:r w:rsidR="005D17D8" w:rsidRPr="0050011A">
        <w:rPr>
          <w:rFonts w:cs="Arial"/>
        </w:rPr>
        <w:t>‘Reference Person’ who holds accountability for that organi</w:t>
      </w:r>
      <w:r w:rsidR="00560513" w:rsidRPr="0050011A">
        <w:rPr>
          <w:rFonts w:cs="Arial"/>
        </w:rPr>
        <w:t>s</w:t>
      </w:r>
      <w:r w:rsidR="005D17D8" w:rsidRPr="0050011A">
        <w:rPr>
          <w:rFonts w:cs="Arial"/>
        </w:rPr>
        <w:t>ation’s data activities within the dataspace.</w:t>
      </w:r>
    </w:p>
    <w:p w14:paraId="0DB2BBEA" w14:textId="498CC737" w:rsidR="00A14FC0" w:rsidRPr="0050011A" w:rsidRDefault="00A14FC0" w:rsidP="00AC3FEB">
      <w:pPr>
        <w:pStyle w:val="Heading3"/>
        <w:rPr>
          <w:rFonts w:cs="Arial"/>
        </w:rPr>
      </w:pPr>
      <w:bookmarkStart w:id="46" w:name="_Toc595713962"/>
      <w:r w:rsidRPr="54AD4DA9">
        <w:rPr>
          <w:rFonts w:cs="Arial"/>
        </w:rPr>
        <w:t>4.2.4 Equity: Mandatory Bias Checks</w:t>
      </w:r>
      <w:bookmarkEnd w:id="46"/>
    </w:p>
    <w:p w14:paraId="4DFC19A4" w14:textId="13EC78F5" w:rsidR="00FF1E8A" w:rsidRPr="0050011A" w:rsidRDefault="004F3BE2" w:rsidP="00FF1E8A">
      <w:pPr>
        <w:rPr>
          <w:rFonts w:cs="Arial"/>
        </w:rPr>
      </w:pPr>
      <w:r w:rsidRPr="0050011A">
        <w:rPr>
          <w:rFonts w:cs="Arial"/>
        </w:rPr>
        <w:t xml:space="preserve">The principle of equity requires that data-driven systems and </w:t>
      </w:r>
      <w:r w:rsidR="00940833" w:rsidRPr="0050011A">
        <w:rPr>
          <w:rFonts w:cs="Arial"/>
        </w:rPr>
        <w:t>decisions</w:t>
      </w:r>
      <w:r w:rsidRPr="0050011A">
        <w:rPr>
          <w:rFonts w:cs="Arial"/>
        </w:rPr>
        <w:t xml:space="preserve"> do not</w:t>
      </w:r>
      <w:r w:rsidR="00940833" w:rsidRPr="0050011A">
        <w:rPr>
          <w:rFonts w:cs="Arial"/>
        </w:rPr>
        <w:t xml:space="preserve"> produce outcomes that disadvantage particular groups. For the Inzicht Verlicht dataspace, this is relevant when sensor data is used to inform policy decisions about traffic management or air quality </w:t>
      </w:r>
      <w:r w:rsidR="0015471B">
        <w:rPr>
          <w:rFonts w:cs="Arial"/>
        </w:rPr>
        <w:t>enforcement</w:t>
      </w:r>
      <w:r w:rsidR="00940833" w:rsidRPr="0050011A">
        <w:rPr>
          <w:rFonts w:cs="Arial"/>
        </w:rPr>
        <w:t xml:space="preserve">. </w:t>
      </w:r>
      <w:r w:rsidR="00CA6ABD" w:rsidRPr="0050011A">
        <w:rPr>
          <w:rFonts w:cs="Arial"/>
        </w:rPr>
        <w:t xml:space="preserve">Decisions that affect different </w:t>
      </w:r>
      <w:r w:rsidR="0015471B">
        <w:rPr>
          <w:rFonts w:cs="Arial"/>
        </w:rPr>
        <w:t>neighbourhoods</w:t>
      </w:r>
      <w:r w:rsidR="00CA6ABD" w:rsidRPr="0050011A">
        <w:rPr>
          <w:rFonts w:cs="Arial"/>
        </w:rPr>
        <w:t xml:space="preserve"> and commun</w:t>
      </w:r>
      <w:r w:rsidR="001B3B3B" w:rsidRPr="0050011A">
        <w:rPr>
          <w:rFonts w:cs="Arial"/>
        </w:rPr>
        <w:t>ities differently. The governance requirement is that any use case producing anal</w:t>
      </w:r>
      <w:r w:rsidR="003D19AA" w:rsidRPr="0050011A">
        <w:rPr>
          <w:rFonts w:cs="Arial"/>
        </w:rPr>
        <w:t xml:space="preserve">ytical outputs intended to </w:t>
      </w:r>
      <w:r w:rsidR="00F54802" w:rsidRPr="0050011A">
        <w:rPr>
          <w:rFonts w:cs="Arial"/>
        </w:rPr>
        <w:t>inform</w:t>
      </w:r>
      <w:r w:rsidR="003D19AA" w:rsidRPr="0050011A">
        <w:rPr>
          <w:rFonts w:cs="Arial"/>
        </w:rPr>
        <w:t xml:space="preserve"> policy must include a bias check as part of its ethics review. </w:t>
      </w:r>
      <w:r w:rsidR="00D40EB1" w:rsidRPr="0050011A">
        <w:rPr>
          <w:rFonts w:cs="Arial"/>
        </w:rPr>
        <w:t xml:space="preserve">This check </w:t>
      </w:r>
      <w:r w:rsidR="007F62C2" w:rsidRPr="0050011A">
        <w:rPr>
          <w:rFonts w:cs="Arial"/>
        </w:rPr>
        <w:t xml:space="preserve">should evaluate whether the datasets used are </w:t>
      </w:r>
      <w:r w:rsidR="00F54802" w:rsidRPr="0050011A">
        <w:rPr>
          <w:rFonts w:cs="Arial"/>
        </w:rPr>
        <w:t>sufficiently</w:t>
      </w:r>
      <w:r w:rsidR="007F62C2" w:rsidRPr="0050011A">
        <w:rPr>
          <w:rFonts w:cs="Arial"/>
        </w:rPr>
        <w:t xml:space="preserve"> </w:t>
      </w:r>
      <w:r w:rsidR="00F54802" w:rsidRPr="0050011A">
        <w:rPr>
          <w:rFonts w:cs="Arial"/>
        </w:rPr>
        <w:t>representative</w:t>
      </w:r>
      <w:r w:rsidR="007F62C2" w:rsidRPr="0050011A">
        <w:rPr>
          <w:rFonts w:cs="Arial"/>
        </w:rPr>
        <w:t xml:space="preserve"> of the affected population and whether the resulting analyses </w:t>
      </w:r>
      <w:r w:rsidR="002D7FBF" w:rsidRPr="0050011A">
        <w:rPr>
          <w:rFonts w:cs="Arial"/>
        </w:rPr>
        <w:t xml:space="preserve">or recommendations could have disproportionate impacts on particular groups. In this governance framework, bias is </w:t>
      </w:r>
      <w:r w:rsidR="0015471B">
        <w:rPr>
          <w:rFonts w:cs="Arial"/>
        </w:rPr>
        <w:t>treated</w:t>
      </w:r>
      <w:r w:rsidR="002D7FBF" w:rsidRPr="0050011A">
        <w:rPr>
          <w:rFonts w:cs="Arial"/>
        </w:rPr>
        <w:t xml:space="preserve"> as a core </w:t>
      </w:r>
      <w:r w:rsidR="00F54802" w:rsidRPr="0050011A">
        <w:rPr>
          <w:rFonts w:cs="Arial"/>
        </w:rPr>
        <w:t>evaluation criterion</w:t>
      </w:r>
      <w:r w:rsidR="00E95948" w:rsidRPr="0050011A">
        <w:rPr>
          <w:rFonts w:cs="Arial"/>
        </w:rPr>
        <w:t xml:space="preserve"> that must be considered throughout the decision-making process.</w:t>
      </w:r>
    </w:p>
    <w:p w14:paraId="3BCC974A" w14:textId="27AFE0CB" w:rsidR="00A14FC0" w:rsidRPr="0050011A" w:rsidRDefault="00A14FC0" w:rsidP="00AC3FEB">
      <w:pPr>
        <w:pStyle w:val="Heading3"/>
        <w:rPr>
          <w:rFonts w:cs="Arial"/>
        </w:rPr>
      </w:pPr>
      <w:bookmarkStart w:id="47" w:name="_Toc838156523"/>
      <w:r w:rsidRPr="54AD4DA9">
        <w:rPr>
          <w:rFonts w:cs="Arial"/>
        </w:rPr>
        <w:t>4.2.5 Human-Cent</w:t>
      </w:r>
      <w:r w:rsidR="00100636" w:rsidRPr="54AD4DA9">
        <w:rPr>
          <w:rFonts w:cs="Arial"/>
        </w:rPr>
        <w:t>ered</w:t>
      </w:r>
      <w:r w:rsidR="001B6EA0" w:rsidRPr="54AD4DA9">
        <w:rPr>
          <w:rFonts w:cs="Arial"/>
        </w:rPr>
        <w:t xml:space="preserve"> Design</w:t>
      </w:r>
      <w:bookmarkEnd w:id="47"/>
    </w:p>
    <w:p w14:paraId="203E739B" w14:textId="5CB71092" w:rsidR="00E95948" w:rsidRPr="0050011A" w:rsidRDefault="00B249B1" w:rsidP="00E95948">
      <w:pPr>
        <w:rPr>
          <w:rFonts w:cs="Arial"/>
        </w:rPr>
      </w:pPr>
      <w:r w:rsidRPr="0050011A">
        <w:rPr>
          <w:rFonts w:cs="Arial"/>
        </w:rPr>
        <w:t xml:space="preserve">The principle of human-centered design requires that the dataspace </w:t>
      </w:r>
      <w:r w:rsidR="00682521" w:rsidRPr="0050011A">
        <w:rPr>
          <w:rFonts w:cs="Arial"/>
        </w:rPr>
        <w:t xml:space="preserve">and its use cases remain </w:t>
      </w:r>
      <w:r w:rsidR="00CA2709" w:rsidRPr="0050011A">
        <w:rPr>
          <w:rFonts w:cs="Arial"/>
        </w:rPr>
        <w:t xml:space="preserve">focused </w:t>
      </w:r>
      <w:r w:rsidR="00682521" w:rsidRPr="0050011A">
        <w:rPr>
          <w:rFonts w:cs="Arial"/>
        </w:rPr>
        <w:t xml:space="preserve">on the people they affect, rather than treating individuals purely as sources of data. </w:t>
      </w:r>
      <w:r w:rsidR="00DC5934" w:rsidRPr="0050011A">
        <w:rPr>
          <w:rFonts w:cs="Arial"/>
        </w:rPr>
        <w:t xml:space="preserve">The DS4SSCC Blueprint </w:t>
      </w:r>
      <w:r w:rsidR="005C3CE2">
        <w:rPr>
          <w:rFonts w:cs="Arial"/>
        </w:rPr>
        <w:t>emphasises</w:t>
      </w:r>
      <w:r w:rsidR="00DC5934" w:rsidRPr="0050011A">
        <w:rPr>
          <w:rFonts w:cs="Arial"/>
        </w:rPr>
        <w:t xml:space="preserve"> th</w:t>
      </w:r>
      <w:r w:rsidR="001E1B0C" w:rsidRPr="0050011A">
        <w:rPr>
          <w:rFonts w:cs="Arial"/>
        </w:rPr>
        <w:t xml:space="preserve">at </w:t>
      </w:r>
      <w:r w:rsidR="00795F17" w:rsidRPr="0050011A">
        <w:rPr>
          <w:rFonts w:cs="Arial"/>
        </w:rPr>
        <w:t>individuals</w:t>
      </w:r>
      <w:r w:rsidR="001E1B0C" w:rsidRPr="0050011A">
        <w:rPr>
          <w:rFonts w:cs="Arial"/>
        </w:rPr>
        <w:t xml:space="preserve"> should have opportunities for active participation and meaningful control over how their data is used. </w:t>
      </w:r>
      <w:r w:rsidR="000A1489" w:rsidRPr="0050011A">
        <w:rPr>
          <w:rFonts w:cs="Arial"/>
        </w:rPr>
        <w:t xml:space="preserve">Within the dataspace, this principle </w:t>
      </w:r>
      <w:r w:rsidR="00795F17" w:rsidRPr="0050011A">
        <w:rPr>
          <w:rFonts w:cs="Arial"/>
        </w:rPr>
        <w:t>translates into the requirement for</w:t>
      </w:r>
      <w:r w:rsidR="00A077F0" w:rsidRPr="0050011A">
        <w:rPr>
          <w:rFonts w:cs="Arial"/>
        </w:rPr>
        <w:t xml:space="preserve"> a</w:t>
      </w:r>
      <w:r w:rsidR="00795F17" w:rsidRPr="0050011A">
        <w:rPr>
          <w:rFonts w:cs="Arial"/>
        </w:rPr>
        <w:t xml:space="preserve"> user impact assessment whenever a new use case has </w:t>
      </w:r>
      <w:r w:rsidR="005C3CE2">
        <w:rPr>
          <w:rFonts w:cs="Arial"/>
        </w:rPr>
        <w:t xml:space="preserve">a </w:t>
      </w:r>
      <w:r w:rsidR="00795F17" w:rsidRPr="0050011A">
        <w:rPr>
          <w:rFonts w:cs="Arial"/>
        </w:rPr>
        <w:t>direct impact on citizens.</w:t>
      </w:r>
      <w:r w:rsidR="001E1B0C" w:rsidRPr="0050011A">
        <w:rPr>
          <w:rFonts w:cs="Arial"/>
        </w:rPr>
        <w:t xml:space="preserve"> </w:t>
      </w:r>
    </w:p>
    <w:p w14:paraId="420E4C55" w14:textId="69AE1047" w:rsidR="00A077F0" w:rsidRPr="0050011A" w:rsidRDefault="00D66C1B" w:rsidP="00E95948">
      <w:pPr>
        <w:rPr>
          <w:rFonts w:cs="Arial"/>
        </w:rPr>
      </w:pPr>
      <w:r w:rsidRPr="0050011A">
        <w:rPr>
          <w:rFonts w:cs="Arial"/>
        </w:rPr>
        <w:t xml:space="preserve">A user impact assessment should evaluate whether affected citizens are </w:t>
      </w:r>
      <w:r w:rsidR="00D424CC" w:rsidRPr="0050011A">
        <w:rPr>
          <w:rFonts w:cs="Arial"/>
        </w:rPr>
        <w:t xml:space="preserve">aware of the use case, whether they </w:t>
      </w:r>
      <w:r w:rsidR="00472A07" w:rsidRPr="0050011A">
        <w:rPr>
          <w:rFonts w:cs="Arial"/>
        </w:rPr>
        <w:t xml:space="preserve">are able to raise concerns or objections and whether the design process has taken into account the perspectives and experiences of those who may be affected by the </w:t>
      </w:r>
      <w:r w:rsidR="00AA7BAE" w:rsidRPr="0050011A">
        <w:rPr>
          <w:rFonts w:cs="Arial"/>
        </w:rPr>
        <w:t>possibl</w:t>
      </w:r>
      <w:r w:rsidR="00A17521" w:rsidRPr="0050011A">
        <w:rPr>
          <w:rFonts w:cs="Arial"/>
        </w:rPr>
        <w:t xml:space="preserve">e results </w:t>
      </w:r>
      <w:r w:rsidR="0073128F" w:rsidRPr="0050011A">
        <w:rPr>
          <w:rFonts w:cs="Arial"/>
        </w:rPr>
        <w:t xml:space="preserve">of decisions or interventions. </w:t>
      </w:r>
      <w:r w:rsidR="008560E2" w:rsidRPr="0050011A">
        <w:rPr>
          <w:rFonts w:cs="Arial"/>
        </w:rPr>
        <w:t xml:space="preserve">This does not require consulting every affected citizen, but </w:t>
      </w:r>
      <w:r w:rsidR="008115B5" w:rsidRPr="0050011A">
        <w:rPr>
          <w:rFonts w:cs="Arial"/>
        </w:rPr>
        <w:t xml:space="preserve">requires that someone within the governance structure has considered </w:t>
      </w:r>
      <w:r w:rsidR="00F877A7" w:rsidRPr="0050011A">
        <w:rPr>
          <w:rFonts w:cs="Arial"/>
        </w:rPr>
        <w:t>the perspective of the citizens before the use case goes live.</w:t>
      </w:r>
    </w:p>
    <w:p w14:paraId="17E68C04" w14:textId="77777777" w:rsidR="00366549" w:rsidRPr="0050011A" w:rsidRDefault="00366549" w:rsidP="00366549">
      <w:pPr>
        <w:pStyle w:val="Heading2"/>
        <w:rPr>
          <w:rFonts w:cs="Arial"/>
        </w:rPr>
      </w:pPr>
      <w:bookmarkStart w:id="48" w:name="_Toc230347185"/>
      <w:bookmarkStart w:id="49" w:name="_Toc1755918278"/>
      <w:r w:rsidRPr="54AD4DA9">
        <w:rPr>
          <w:rFonts w:cs="Arial"/>
        </w:rPr>
        <w:t>4.3 Alignment with the DS4SSCC Blueprint</w:t>
      </w:r>
      <w:bookmarkEnd w:id="48"/>
      <w:bookmarkEnd w:id="49"/>
    </w:p>
    <w:p w14:paraId="34833BDF" w14:textId="66C41B54" w:rsidR="004F2A2D" w:rsidRPr="0050011A" w:rsidRDefault="00AC6ACC" w:rsidP="00366549">
      <w:pPr>
        <w:rPr>
          <w:rFonts w:cs="Arial"/>
        </w:rPr>
      </w:pPr>
      <w:r w:rsidRPr="0050011A">
        <w:rPr>
          <w:rFonts w:cs="Arial"/>
        </w:rPr>
        <w:t xml:space="preserve">This advisory framework builds </w:t>
      </w:r>
      <w:r w:rsidR="008242E4" w:rsidRPr="0050011A">
        <w:rPr>
          <w:rFonts w:cs="Arial"/>
        </w:rPr>
        <w:t xml:space="preserve">on the broader European context. </w:t>
      </w:r>
      <w:r w:rsidR="002C234C" w:rsidRPr="0050011A">
        <w:rPr>
          <w:rFonts w:cs="Arial"/>
        </w:rPr>
        <w:t>The DS4SSCC Blueprint Evolution, published by the DS4SSCC-DEP cons</w:t>
      </w:r>
      <w:r w:rsidR="00791763" w:rsidRPr="0050011A">
        <w:rPr>
          <w:rFonts w:cs="Arial"/>
        </w:rPr>
        <w:t>ortium as Deliverable 2.3 in 2025, is the main European reference framework for governance in smart city dataspaces</w:t>
      </w:r>
      <w:r w:rsidR="00E21B1D" w:rsidRPr="0050011A">
        <w:rPr>
          <w:rFonts w:cs="Arial"/>
        </w:rPr>
        <w:t xml:space="preserve"> and forms the foundation on which this framework is built.</w:t>
      </w:r>
      <w:r w:rsidR="00770BFF" w:rsidRPr="0050011A">
        <w:rPr>
          <w:rFonts w:cs="Arial"/>
        </w:rPr>
        <w:t xml:space="preserve"> The</w:t>
      </w:r>
      <w:r w:rsidR="00F51810" w:rsidRPr="0050011A">
        <w:rPr>
          <w:rFonts w:cs="Arial"/>
        </w:rPr>
        <w:t xml:space="preserve"> Blueprint is the result of collaboration between European cities, research institutions, and technology partners</w:t>
      </w:r>
      <w:r w:rsidR="000C5B13" w:rsidRPr="0050011A">
        <w:rPr>
          <w:rFonts w:cs="Arial"/>
        </w:rPr>
        <w:t xml:space="preserve"> </w:t>
      </w:r>
      <w:r w:rsidR="0079286A" w:rsidRPr="0050011A">
        <w:rPr>
          <w:rFonts w:cs="Arial"/>
        </w:rPr>
        <w:t xml:space="preserve">across </w:t>
      </w:r>
      <w:r w:rsidR="00AC176C" w:rsidRPr="0050011A">
        <w:rPr>
          <w:rFonts w:cs="Arial"/>
        </w:rPr>
        <w:t>eleven</w:t>
      </w:r>
      <w:r w:rsidR="00762278" w:rsidRPr="0050011A">
        <w:rPr>
          <w:rFonts w:cs="Arial"/>
        </w:rPr>
        <w:t xml:space="preserve"> cross-sectoral pilot </w:t>
      </w:r>
      <w:r w:rsidR="004E49D8" w:rsidRPr="0050011A">
        <w:rPr>
          <w:rFonts w:cs="Arial"/>
        </w:rPr>
        <w:t>projects and</w:t>
      </w:r>
      <w:r w:rsidR="00762278" w:rsidRPr="0050011A">
        <w:rPr>
          <w:rFonts w:cs="Arial"/>
        </w:rPr>
        <w:t xml:space="preserve"> is </w:t>
      </w:r>
      <w:r w:rsidR="00A14DA1" w:rsidRPr="0050011A">
        <w:rPr>
          <w:rFonts w:cs="Arial"/>
        </w:rPr>
        <w:t>recognised</w:t>
      </w:r>
      <w:r w:rsidR="00762278" w:rsidRPr="0050011A">
        <w:rPr>
          <w:rFonts w:cs="Arial"/>
        </w:rPr>
        <w:t xml:space="preserve"> as the governance standard for this type </w:t>
      </w:r>
      <w:r w:rsidR="00A14DA1" w:rsidRPr="0050011A">
        <w:rPr>
          <w:rFonts w:cs="Arial"/>
        </w:rPr>
        <w:t xml:space="preserve">of initiative. </w:t>
      </w:r>
      <w:r w:rsidR="00B778A5" w:rsidRPr="0050011A">
        <w:rPr>
          <w:rFonts w:cs="Arial"/>
        </w:rPr>
        <w:t xml:space="preserve">The Inzicht Verlicht dataspace participates as one of these pilots through the CitizenCity project, which means </w:t>
      </w:r>
      <w:r w:rsidR="0000462A" w:rsidRPr="0050011A">
        <w:rPr>
          <w:rFonts w:cs="Arial"/>
        </w:rPr>
        <w:t xml:space="preserve">that the Blueprint is not just a relevant reference but the direct governance </w:t>
      </w:r>
      <w:r w:rsidR="003A14F4" w:rsidRPr="0050011A">
        <w:rPr>
          <w:rFonts w:cs="Arial"/>
        </w:rPr>
        <w:t>reference and overseeing document</w:t>
      </w:r>
      <w:r w:rsidR="0000462A" w:rsidRPr="0050011A">
        <w:rPr>
          <w:rFonts w:cs="Arial"/>
        </w:rPr>
        <w:t xml:space="preserve"> of this framework.</w:t>
      </w:r>
    </w:p>
    <w:p w14:paraId="0E38AEF4" w14:textId="14AFB30E" w:rsidR="0000462A" w:rsidRPr="0050011A" w:rsidRDefault="00244CC2" w:rsidP="00366549">
      <w:pPr>
        <w:rPr>
          <w:rFonts w:cs="Arial"/>
        </w:rPr>
      </w:pPr>
      <w:r w:rsidRPr="0050011A">
        <w:rPr>
          <w:rFonts w:cs="Arial"/>
        </w:rPr>
        <w:t xml:space="preserve">The Blueprint defines governance </w:t>
      </w:r>
      <w:r w:rsidR="00DE7AEB" w:rsidRPr="0050011A">
        <w:rPr>
          <w:rFonts w:cs="Arial"/>
        </w:rPr>
        <w:t>over three dimensions</w:t>
      </w:r>
      <w:r w:rsidR="00C5142C" w:rsidRPr="0050011A">
        <w:rPr>
          <w:rFonts w:cs="Arial"/>
        </w:rPr>
        <w:t xml:space="preserve"> that are connected</w:t>
      </w:r>
      <w:r w:rsidR="00DE7AEB" w:rsidRPr="0050011A">
        <w:rPr>
          <w:rFonts w:cs="Arial"/>
        </w:rPr>
        <w:t xml:space="preserve">: </w:t>
      </w:r>
      <w:r w:rsidR="00F0636B" w:rsidRPr="0050011A">
        <w:rPr>
          <w:rFonts w:cs="Arial"/>
        </w:rPr>
        <w:t>organisational</w:t>
      </w:r>
      <w:r w:rsidR="00C71339" w:rsidRPr="0050011A">
        <w:rPr>
          <w:rFonts w:cs="Arial"/>
        </w:rPr>
        <w:t>,</w:t>
      </w:r>
      <w:r w:rsidR="00DE7AEB" w:rsidRPr="0050011A">
        <w:rPr>
          <w:rFonts w:cs="Arial"/>
        </w:rPr>
        <w:t xml:space="preserve"> </w:t>
      </w:r>
      <w:r w:rsidR="00C71339" w:rsidRPr="0050011A">
        <w:rPr>
          <w:rFonts w:cs="Arial"/>
        </w:rPr>
        <w:t>which covers</w:t>
      </w:r>
      <w:r w:rsidR="00DE7AEB" w:rsidRPr="0050011A">
        <w:rPr>
          <w:rFonts w:cs="Arial"/>
        </w:rPr>
        <w:t xml:space="preserve"> roles, responsibilities, and decision-making structures</w:t>
      </w:r>
      <w:r w:rsidR="00DF6E51" w:rsidRPr="0050011A">
        <w:rPr>
          <w:rFonts w:cs="Arial"/>
        </w:rPr>
        <w:t>;</w:t>
      </w:r>
      <w:r w:rsidR="005156F6" w:rsidRPr="0050011A">
        <w:rPr>
          <w:rFonts w:cs="Arial"/>
        </w:rPr>
        <w:t xml:space="preserve"> </w:t>
      </w:r>
      <w:r w:rsidR="00C71339" w:rsidRPr="0050011A">
        <w:rPr>
          <w:rFonts w:cs="Arial"/>
        </w:rPr>
        <w:t>data governance, which covers</w:t>
      </w:r>
      <w:r w:rsidR="00DF6E51" w:rsidRPr="0050011A">
        <w:rPr>
          <w:rFonts w:cs="Arial"/>
        </w:rPr>
        <w:t xml:space="preserve"> access </w:t>
      </w:r>
      <w:r w:rsidR="00DF6E51" w:rsidRPr="0050011A">
        <w:rPr>
          <w:rFonts w:cs="Arial"/>
        </w:rPr>
        <w:lastRenderedPageBreak/>
        <w:t>policies, quality standards, and compliance mechanisms; and legal</w:t>
      </w:r>
      <w:r w:rsidR="00E54A32" w:rsidRPr="0050011A">
        <w:rPr>
          <w:rFonts w:cs="Arial"/>
        </w:rPr>
        <w:t>,</w:t>
      </w:r>
      <w:r w:rsidR="00DF6E51" w:rsidRPr="0050011A">
        <w:rPr>
          <w:rFonts w:cs="Arial"/>
        </w:rPr>
        <w:t xml:space="preserve"> which </w:t>
      </w:r>
      <w:r w:rsidR="00E54A32" w:rsidRPr="0050011A">
        <w:rPr>
          <w:rFonts w:cs="Arial"/>
        </w:rPr>
        <w:t>covers</w:t>
      </w:r>
      <w:r w:rsidR="008102B8" w:rsidRPr="0050011A">
        <w:rPr>
          <w:rFonts w:cs="Arial"/>
        </w:rPr>
        <w:t xml:space="preserve"> contractual </w:t>
      </w:r>
      <w:r w:rsidR="008A5C9B" w:rsidRPr="0050011A">
        <w:rPr>
          <w:rFonts w:cs="Arial"/>
        </w:rPr>
        <w:t>frameworks and regulatory alignment.</w:t>
      </w:r>
      <w:r w:rsidR="00D60583" w:rsidRPr="0050011A">
        <w:rPr>
          <w:rFonts w:cs="Arial"/>
        </w:rPr>
        <w:t xml:space="preserve"> This advisory framework </w:t>
      </w:r>
      <w:r w:rsidR="00C32D64" w:rsidRPr="0050011A">
        <w:rPr>
          <w:rFonts w:cs="Arial"/>
        </w:rPr>
        <w:t>follows</w:t>
      </w:r>
      <w:r w:rsidR="001E1362" w:rsidRPr="0050011A">
        <w:rPr>
          <w:rFonts w:cs="Arial"/>
        </w:rPr>
        <w:t xml:space="preserve"> </w:t>
      </w:r>
      <w:r w:rsidR="00623D04" w:rsidRPr="0050011A">
        <w:rPr>
          <w:rFonts w:cs="Arial"/>
        </w:rPr>
        <w:t>all</w:t>
      </w:r>
      <w:r w:rsidR="001E1362" w:rsidRPr="0050011A">
        <w:rPr>
          <w:rFonts w:cs="Arial"/>
        </w:rPr>
        <w:t xml:space="preserve"> three of the dimensions and applies them to the specific context of the Inzicht Verlicht </w:t>
      </w:r>
      <w:r w:rsidR="00762BC7" w:rsidRPr="0050011A">
        <w:rPr>
          <w:rFonts w:cs="Arial"/>
        </w:rPr>
        <w:t xml:space="preserve">dataspace. The </w:t>
      </w:r>
      <w:r w:rsidR="00B21181" w:rsidRPr="0050011A">
        <w:rPr>
          <w:rFonts w:cs="Arial"/>
        </w:rPr>
        <w:t>r</w:t>
      </w:r>
      <w:r w:rsidR="00CF06C9" w:rsidRPr="0050011A">
        <w:rPr>
          <w:rFonts w:cs="Arial"/>
        </w:rPr>
        <w:t xml:space="preserve">ole definitions in section 5.1 are </w:t>
      </w:r>
      <w:r w:rsidR="00623D04" w:rsidRPr="0050011A">
        <w:rPr>
          <w:rFonts w:cs="Arial"/>
        </w:rPr>
        <w:t>made</w:t>
      </w:r>
      <w:r w:rsidR="00CF06C9" w:rsidRPr="0050011A">
        <w:rPr>
          <w:rFonts w:cs="Arial"/>
        </w:rPr>
        <w:t xml:space="preserve"> directly from the Blueprin</w:t>
      </w:r>
      <w:r w:rsidR="00623D04" w:rsidRPr="0050011A">
        <w:rPr>
          <w:rFonts w:cs="Arial"/>
        </w:rPr>
        <w:t>t</w:t>
      </w:r>
      <w:r w:rsidR="00CF06C9" w:rsidRPr="0050011A">
        <w:rPr>
          <w:rFonts w:cs="Arial"/>
        </w:rPr>
        <w:t>’s role categories</w:t>
      </w:r>
      <w:r w:rsidR="00F43D31" w:rsidRPr="0050011A">
        <w:rPr>
          <w:rFonts w:cs="Arial"/>
        </w:rPr>
        <w:t>,</w:t>
      </w:r>
      <w:r w:rsidR="00006B95" w:rsidRPr="0050011A">
        <w:rPr>
          <w:rFonts w:cs="Arial"/>
        </w:rPr>
        <w:t xml:space="preserve"> which </w:t>
      </w:r>
      <w:r w:rsidR="00F43D31" w:rsidRPr="0050011A">
        <w:rPr>
          <w:rFonts w:cs="Arial"/>
        </w:rPr>
        <w:t>include</w:t>
      </w:r>
      <w:r w:rsidR="00006B95" w:rsidRPr="0050011A">
        <w:rPr>
          <w:rFonts w:cs="Arial"/>
        </w:rPr>
        <w:t xml:space="preserve"> the Governance Authority, Coordinating Entity, Data Provider</w:t>
      </w:r>
      <w:r w:rsidR="004137F2" w:rsidRPr="0050011A">
        <w:rPr>
          <w:rFonts w:cs="Arial"/>
        </w:rPr>
        <w:t>, Data User,</w:t>
      </w:r>
      <w:r w:rsidR="00F43D31" w:rsidRPr="0050011A">
        <w:rPr>
          <w:rFonts w:cs="Arial"/>
        </w:rPr>
        <w:t xml:space="preserve"> </w:t>
      </w:r>
      <w:r w:rsidR="004137F2" w:rsidRPr="0050011A">
        <w:rPr>
          <w:rFonts w:cs="Arial"/>
        </w:rPr>
        <w:t xml:space="preserve">and Intermediary. </w:t>
      </w:r>
      <w:r w:rsidR="00F43D31" w:rsidRPr="0050011A">
        <w:rPr>
          <w:rFonts w:cs="Arial"/>
        </w:rPr>
        <w:t xml:space="preserve">The </w:t>
      </w:r>
      <w:r w:rsidR="001121D6" w:rsidRPr="0050011A">
        <w:rPr>
          <w:rFonts w:cs="Arial"/>
        </w:rPr>
        <w:t>three-layered</w:t>
      </w:r>
      <w:r w:rsidR="00790E07" w:rsidRPr="0050011A">
        <w:rPr>
          <w:rFonts w:cs="Arial"/>
        </w:rPr>
        <w:t xml:space="preserve"> contractual structure</w:t>
      </w:r>
      <w:r w:rsidR="00322E53" w:rsidRPr="0050011A">
        <w:rPr>
          <w:rFonts w:cs="Arial"/>
        </w:rPr>
        <w:t xml:space="preserve"> in section 5.2 follows the </w:t>
      </w:r>
      <w:r w:rsidR="003D7DF5" w:rsidRPr="0050011A">
        <w:rPr>
          <w:rFonts w:cs="Arial"/>
        </w:rPr>
        <w:t>Blueprint’s contractual framework building block.</w:t>
      </w:r>
      <w:r w:rsidR="00B27194" w:rsidRPr="0050011A">
        <w:rPr>
          <w:rFonts w:cs="Arial"/>
        </w:rPr>
        <w:t xml:space="preserve"> The monitoring mechanisms </w:t>
      </w:r>
      <w:r w:rsidR="00435EE3" w:rsidRPr="0050011A">
        <w:rPr>
          <w:rFonts w:cs="Arial"/>
        </w:rPr>
        <w:t>are</w:t>
      </w:r>
      <w:r w:rsidR="00B27194" w:rsidRPr="0050011A">
        <w:rPr>
          <w:rFonts w:cs="Arial"/>
        </w:rPr>
        <w:t xml:space="preserve"> </w:t>
      </w:r>
      <w:r w:rsidR="00435EE3" w:rsidRPr="0050011A">
        <w:rPr>
          <w:rFonts w:cs="Arial"/>
        </w:rPr>
        <w:t>under</w:t>
      </w:r>
      <w:r w:rsidR="00B27194" w:rsidRPr="0050011A">
        <w:rPr>
          <w:rFonts w:cs="Arial"/>
        </w:rPr>
        <w:t xml:space="preserve"> 5.6</w:t>
      </w:r>
      <w:r w:rsidR="00280289" w:rsidRPr="0050011A">
        <w:rPr>
          <w:rFonts w:cs="Arial"/>
        </w:rPr>
        <w:t>,</w:t>
      </w:r>
      <w:r w:rsidR="00F43D31" w:rsidRPr="0050011A">
        <w:rPr>
          <w:rFonts w:cs="Arial"/>
        </w:rPr>
        <w:t xml:space="preserve"> </w:t>
      </w:r>
      <w:r w:rsidR="00435EE3" w:rsidRPr="0050011A">
        <w:rPr>
          <w:rFonts w:cs="Arial"/>
        </w:rPr>
        <w:t xml:space="preserve">which builds on the Blueprint’s recommendation </w:t>
      </w:r>
      <w:r w:rsidR="00280289" w:rsidRPr="0050011A">
        <w:rPr>
          <w:rFonts w:cs="Arial"/>
        </w:rPr>
        <w:t>to use API key-based</w:t>
      </w:r>
      <w:r w:rsidR="00435EE3" w:rsidRPr="0050011A">
        <w:rPr>
          <w:rFonts w:cs="Arial"/>
        </w:rPr>
        <w:t xml:space="preserve"> usage tracking as the primary tool for</w:t>
      </w:r>
      <w:r w:rsidR="00280289" w:rsidRPr="0050011A">
        <w:rPr>
          <w:rFonts w:cs="Arial"/>
        </w:rPr>
        <w:t xml:space="preserve"> oversight.</w:t>
      </w:r>
    </w:p>
    <w:p w14:paraId="7298DCA4" w14:textId="6C05F00B" w:rsidR="00315737" w:rsidRPr="0050011A" w:rsidRDefault="00315737" w:rsidP="00366549">
      <w:pPr>
        <w:rPr>
          <w:rFonts w:cs="Arial"/>
        </w:rPr>
      </w:pPr>
      <w:r w:rsidRPr="0050011A">
        <w:rPr>
          <w:rFonts w:cs="Arial"/>
        </w:rPr>
        <w:t xml:space="preserve">Ethically, the Blueprint </w:t>
      </w:r>
      <w:r w:rsidR="0066784D" w:rsidRPr="0050011A">
        <w:rPr>
          <w:rFonts w:cs="Arial"/>
        </w:rPr>
        <w:t xml:space="preserve">uses the Principism framework as its </w:t>
      </w:r>
      <w:r w:rsidR="005F0DF0" w:rsidRPr="0050011A">
        <w:rPr>
          <w:rFonts w:cs="Arial"/>
        </w:rPr>
        <w:t>main</w:t>
      </w:r>
      <w:r w:rsidR="0066784D" w:rsidRPr="0050011A">
        <w:rPr>
          <w:rFonts w:cs="Arial"/>
        </w:rPr>
        <w:t xml:space="preserve"> ethical model</w:t>
      </w:r>
      <w:r w:rsidR="00645AAD" w:rsidRPr="0050011A">
        <w:rPr>
          <w:rFonts w:cs="Arial"/>
        </w:rPr>
        <w:t xml:space="preserve">, </w:t>
      </w:r>
      <w:r w:rsidR="006A033E" w:rsidRPr="0050011A">
        <w:rPr>
          <w:rFonts w:cs="Arial"/>
        </w:rPr>
        <w:t xml:space="preserve">which covers respect for persons </w:t>
      </w:r>
      <w:r w:rsidR="001D4562" w:rsidRPr="0050011A">
        <w:rPr>
          <w:rFonts w:cs="Arial"/>
        </w:rPr>
        <w:t>and</w:t>
      </w:r>
      <w:r w:rsidR="006A033E" w:rsidRPr="0050011A">
        <w:rPr>
          <w:rFonts w:cs="Arial"/>
        </w:rPr>
        <w:t xml:space="preserve"> autonomy, justice, non-maleficence and </w:t>
      </w:r>
      <w:r w:rsidR="00DB074E" w:rsidRPr="0050011A">
        <w:rPr>
          <w:rFonts w:cs="Arial"/>
        </w:rPr>
        <w:t>beneficence</w:t>
      </w:r>
      <w:r w:rsidR="001D4562" w:rsidRPr="0050011A">
        <w:rPr>
          <w:rFonts w:cs="Arial"/>
        </w:rPr>
        <w:t>, dignity, and responsibility</w:t>
      </w:r>
      <w:r w:rsidR="00FD524E" w:rsidRPr="0050011A">
        <w:rPr>
          <w:rFonts w:cs="Arial"/>
        </w:rPr>
        <w:t xml:space="preserve"> and accountability. These are the shared ethical principles that </w:t>
      </w:r>
      <w:r w:rsidR="00AE17AC" w:rsidRPr="0050011A">
        <w:rPr>
          <w:rFonts w:cs="Arial"/>
        </w:rPr>
        <w:t>shape</w:t>
      </w:r>
      <w:r w:rsidR="001767D3" w:rsidRPr="0050011A">
        <w:rPr>
          <w:rFonts w:cs="Arial"/>
        </w:rPr>
        <w:t xml:space="preserve"> every governance requirement in this document. Where this framework makes a governance</w:t>
      </w:r>
      <w:r w:rsidR="00983E9D" w:rsidRPr="0050011A">
        <w:rPr>
          <w:rFonts w:cs="Arial"/>
        </w:rPr>
        <w:t xml:space="preserve"> choice, that choice is </w:t>
      </w:r>
      <w:r w:rsidR="007E3BA4" w:rsidRPr="0050011A">
        <w:rPr>
          <w:rFonts w:cs="Arial"/>
        </w:rPr>
        <w:t xml:space="preserve">traceable to one or more of </w:t>
      </w:r>
      <w:r w:rsidR="00A91FCE" w:rsidRPr="0050011A">
        <w:rPr>
          <w:rFonts w:cs="Arial"/>
        </w:rPr>
        <w:t>these principles, and the connection to them is made explicitly throughout section 5.</w:t>
      </w:r>
    </w:p>
    <w:p w14:paraId="7B407FD3" w14:textId="3B77950E" w:rsidR="003705F5" w:rsidRPr="0050011A" w:rsidRDefault="00C74FD3" w:rsidP="00366549">
      <w:pPr>
        <w:rPr>
          <w:rFonts w:cs="Arial"/>
        </w:rPr>
      </w:pPr>
      <w:r w:rsidRPr="0050011A">
        <w:rPr>
          <w:rFonts w:cs="Arial"/>
        </w:rPr>
        <w:t>Despite this</w:t>
      </w:r>
      <w:r w:rsidR="00804448" w:rsidRPr="0050011A">
        <w:rPr>
          <w:rFonts w:cs="Arial"/>
        </w:rPr>
        <w:t xml:space="preserve">, the framework also goes </w:t>
      </w:r>
      <w:r w:rsidR="00561C98" w:rsidRPr="0050011A">
        <w:rPr>
          <w:rFonts w:cs="Arial"/>
        </w:rPr>
        <w:t>outside</w:t>
      </w:r>
      <w:r w:rsidR="00804448" w:rsidRPr="0050011A">
        <w:rPr>
          <w:rFonts w:cs="Arial"/>
        </w:rPr>
        <w:t xml:space="preserve"> the Blueprint in multiple areas, more specifically</w:t>
      </w:r>
      <w:r w:rsidR="00C5142C" w:rsidRPr="0050011A">
        <w:rPr>
          <w:rFonts w:cs="Arial"/>
        </w:rPr>
        <w:t>,</w:t>
      </w:r>
      <w:r w:rsidR="00804448" w:rsidRPr="0050011A">
        <w:rPr>
          <w:rFonts w:cs="Arial"/>
        </w:rPr>
        <w:t xml:space="preserve"> those where the Blueprint itself acknowledges that practical implementations </w:t>
      </w:r>
      <w:r w:rsidR="00B4081C" w:rsidRPr="0050011A">
        <w:rPr>
          <w:rFonts w:cs="Arial"/>
        </w:rPr>
        <w:t>are</w:t>
      </w:r>
      <w:r w:rsidR="00804448" w:rsidRPr="0050011A">
        <w:rPr>
          <w:rFonts w:cs="Arial"/>
        </w:rPr>
        <w:t xml:space="preserve"> still incomplete. </w:t>
      </w:r>
      <w:r w:rsidR="003B3B3B" w:rsidRPr="0050011A">
        <w:rPr>
          <w:rFonts w:cs="Arial"/>
        </w:rPr>
        <w:t xml:space="preserve">The Blueprint </w:t>
      </w:r>
      <w:r w:rsidR="001F26B6" w:rsidRPr="0050011A">
        <w:rPr>
          <w:rFonts w:cs="Arial"/>
        </w:rPr>
        <w:t xml:space="preserve">explicitly mentions that ethics assessments have not yet been practically implemented with pilots and that this must be addressed in the second half of the </w:t>
      </w:r>
      <w:r w:rsidR="00C37C90" w:rsidRPr="0050011A">
        <w:rPr>
          <w:rFonts w:cs="Arial"/>
        </w:rPr>
        <w:t>project's runtime</w:t>
      </w:r>
      <w:r w:rsidR="001F26B6" w:rsidRPr="0050011A">
        <w:rPr>
          <w:rFonts w:cs="Arial"/>
        </w:rPr>
        <w:t xml:space="preserve">. This framework makes the </w:t>
      </w:r>
      <w:r w:rsidR="00C37C90" w:rsidRPr="0050011A">
        <w:rPr>
          <w:rFonts w:cs="Arial"/>
        </w:rPr>
        <w:t xml:space="preserve">ethics review process a </w:t>
      </w:r>
      <w:r w:rsidR="004B7569" w:rsidRPr="0050011A">
        <w:rPr>
          <w:rFonts w:cs="Arial"/>
        </w:rPr>
        <w:t xml:space="preserve">mandatory </w:t>
      </w:r>
      <w:r w:rsidR="00D4396A" w:rsidRPr="0050011A">
        <w:rPr>
          <w:rFonts w:cs="Arial"/>
        </w:rPr>
        <w:t xml:space="preserve">step rather than an </w:t>
      </w:r>
      <w:r w:rsidR="00C975DB" w:rsidRPr="0050011A">
        <w:rPr>
          <w:rFonts w:cs="Arial"/>
        </w:rPr>
        <w:t xml:space="preserve">optional </w:t>
      </w:r>
      <w:r w:rsidR="00282A0C" w:rsidRPr="0050011A">
        <w:rPr>
          <w:rFonts w:cs="Arial"/>
        </w:rPr>
        <w:t>motivational-driven</w:t>
      </w:r>
      <w:r w:rsidR="00C975DB" w:rsidRPr="0050011A">
        <w:rPr>
          <w:rFonts w:cs="Arial"/>
        </w:rPr>
        <w:t xml:space="preserve"> step, using ATLAI as the methodology </w:t>
      </w:r>
      <w:r w:rsidR="00282A0C" w:rsidRPr="0050011A">
        <w:rPr>
          <w:rFonts w:cs="Arial"/>
        </w:rPr>
        <w:t xml:space="preserve">and </w:t>
      </w:r>
      <w:r w:rsidR="00F81980" w:rsidRPr="0050011A">
        <w:rPr>
          <w:rFonts w:cs="Arial"/>
        </w:rPr>
        <w:t>using</w:t>
      </w:r>
      <w:r w:rsidR="00282A0C" w:rsidRPr="0050011A">
        <w:rPr>
          <w:rFonts w:cs="Arial"/>
        </w:rPr>
        <w:t xml:space="preserve"> an </w:t>
      </w:r>
      <w:r w:rsidR="00F81980" w:rsidRPr="0050011A">
        <w:rPr>
          <w:rFonts w:cs="Arial"/>
        </w:rPr>
        <w:t>adapted assessment template</w:t>
      </w:r>
      <w:r w:rsidR="00E66136" w:rsidRPr="0050011A">
        <w:rPr>
          <w:rFonts w:cs="Arial"/>
        </w:rPr>
        <w:t xml:space="preserve">. The Blueprint also </w:t>
      </w:r>
      <w:r w:rsidR="00D133F0" w:rsidRPr="0050011A">
        <w:rPr>
          <w:rFonts w:cs="Arial"/>
        </w:rPr>
        <w:t>mentions</w:t>
      </w:r>
      <w:r w:rsidR="00E66136" w:rsidRPr="0050011A">
        <w:rPr>
          <w:rFonts w:cs="Arial"/>
        </w:rPr>
        <w:t xml:space="preserve"> that </w:t>
      </w:r>
      <w:r w:rsidR="00B4081C" w:rsidRPr="0050011A">
        <w:rPr>
          <w:rFonts w:cs="Arial"/>
        </w:rPr>
        <w:t>provenance</w:t>
      </w:r>
      <w:r w:rsidR="00A26BAD" w:rsidRPr="0050011A">
        <w:rPr>
          <w:rFonts w:cs="Arial"/>
        </w:rPr>
        <w:t xml:space="preserve"> and </w:t>
      </w:r>
      <w:r w:rsidR="00C01B59" w:rsidRPr="0050011A">
        <w:rPr>
          <w:rFonts w:cs="Arial"/>
        </w:rPr>
        <w:t xml:space="preserve">traceability mechanisms are not consistently applied across pilots, as no pilots in the first two rounds implemented specific measures for these </w:t>
      </w:r>
      <w:r w:rsidR="004D106D" w:rsidRPr="0050011A">
        <w:rPr>
          <w:rFonts w:cs="Arial"/>
        </w:rPr>
        <w:t>mechanisms.</w:t>
      </w:r>
      <w:r w:rsidR="00CF6F97" w:rsidRPr="0050011A">
        <w:rPr>
          <w:rFonts w:cs="Arial"/>
        </w:rPr>
        <w:t xml:space="preserve"> This framework </w:t>
      </w:r>
      <w:r w:rsidR="00F30BA5" w:rsidRPr="0050011A">
        <w:rPr>
          <w:rFonts w:cs="Arial"/>
        </w:rPr>
        <w:t>incorporates an</w:t>
      </w:r>
      <w:r w:rsidR="00CD7D9A" w:rsidRPr="0050011A">
        <w:rPr>
          <w:rFonts w:cs="Arial"/>
        </w:rPr>
        <w:t xml:space="preserve"> audit trail and monitoring requirements </w:t>
      </w:r>
      <w:r w:rsidR="00F30BA5" w:rsidRPr="0050011A">
        <w:rPr>
          <w:rFonts w:cs="Arial"/>
        </w:rPr>
        <w:t xml:space="preserve">under 5.6 to reduce that gap. </w:t>
      </w:r>
      <w:r w:rsidR="005B6358" w:rsidRPr="0050011A">
        <w:rPr>
          <w:rFonts w:cs="Arial"/>
        </w:rPr>
        <w:t xml:space="preserve"> The blueprint also </w:t>
      </w:r>
      <w:r w:rsidR="00D133F0" w:rsidRPr="0050011A">
        <w:rPr>
          <w:rFonts w:cs="Arial"/>
        </w:rPr>
        <w:t>mentions</w:t>
      </w:r>
      <w:r w:rsidR="005B6358" w:rsidRPr="0050011A">
        <w:rPr>
          <w:rFonts w:cs="Arial"/>
        </w:rPr>
        <w:t xml:space="preserve"> that </w:t>
      </w:r>
      <w:r w:rsidR="00D133F0" w:rsidRPr="0050011A">
        <w:rPr>
          <w:rFonts w:cs="Arial"/>
        </w:rPr>
        <w:t xml:space="preserve">the </w:t>
      </w:r>
      <w:r w:rsidR="000103D0" w:rsidRPr="0050011A">
        <w:rPr>
          <w:rFonts w:cs="Arial"/>
        </w:rPr>
        <w:t xml:space="preserve">compliance mechanisms beyond </w:t>
      </w:r>
      <w:r w:rsidR="00D133F0" w:rsidRPr="0050011A">
        <w:rPr>
          <w:rFonts w:cs="Arial"/>
        </w:rPr>
        <w:t xml:space="preserve">the </w:t>
      </w:r>
      <w:r w:rsidR="000103D0" w:rsidRPr="0050011A">
        <w:rPr>
          <w:rFonts w:cs="Arial"/>
        </w:rPr>
        <w:t xml:space="preserve">onboarding </w:t>
      </w:r>
      <w:r w:rsidR="00D133F0" w:rsidRPr="0050011A">
        <w:rPr>
          <w:rFonts w:cs="Arial"/>
        </w:rPr>
        <w:t xml:space="preserve">processes </w:t>
      </w:r>
      <w:r w:rsidR="000103D0" w:rsidRPr="0050011A">
        <w:rPr>
          <w:rFonts w:cs="Arial"/>
        </w:rPr>
        <w:t xml:space="preserve">are </w:t>
      </w:r>
      <w:r w:rsidR="00BD1EB0" w:rsidRPr="0050011A">
        <w:rPr>
          <w:rFonts w:cs="Arial"/>
        </w:rPr>
        <w:t xml:space="preserve">still underdeveloped. </w:t>
      </w:r>
      <w:r w:rsidR="003705F5" w:rsidRPr="0050011A">
        <w:rPr>
          <w:rFonts w:cs="Arial"/>
        </w:rPr>
        <w:t xml:space="preserve">Sections 5.6 and 6 build on this through monitoring, auditing, and KPI measures. </w:t>
      </w:r>
    </w:p>
    <w:p w14:paraId="79A00A53" w14:textId="3FFB810F" w:rsidR="00FF231B" w:rsidRPr="0050011A" w:rsidRDefault="008851F9" w:rsidP="00366549">
      <w:pPr>
        <w:rPr>
          <w:rFonts w:cs="Arial"/>
        </w:rPr>
      </w:pPr>
      <w:r w:rsidRPr="0050011A">
        <w:rPr>
          <w:rFonts w:cs="Arial"/>
        </w:rPr>
        <w:t xml:space="preserve">These extensions </w:t>
      </w:r>
      <w:r w:rsidR="00E40545" w:rsidRPr="0050011A">
        <w:rPr>
          <w:rFonts w:cs="Arial"/>
        </w:rPr>
        <w:t xml:space="preserve">do not move away from the Blueprint but build further on its </w:t>
      </w:r>
      <w:r w:rsidR="00720EA4" w:rsidRPr="0050011A">
        <w:rPr>
          <w:rFonts w:cs="Arial"/>
        </w:rPr>
        <w:t xml:space="preserve">continued development. </w:t>
      </w:r>
      <w:r w:rsidR="00063F1A" w:rsidRPr="0050011A">
        <w:rPr>
          <w:rFonts w:cs="Arial"/>
        </w:rPr>
        <w:t xml:space="preserve">The </w:t>
      </w:r>
      <w:r w:rsidR="00823758" w:rsidRPr="0050011A">
        <w:rPr>
          <w:rFonts w:cs="Arial"/>
        </w:rPr>
        <w:t>Blueprint</w:t>
      </w:r>
      <w:r w:rsidR="00063F1A" w:rsidRPr="0050011A">
        <w:rPr>
          <w:rFonts w:cs="Arial"/>
        </w:rPr>
        <w:t xml:space="preserve"> is intended to </w:t>
      </w:r>
      <w:r w:rsidR="00823758" w:rsidRPr="0050011A">
        <w:rPr>
          <w:rFonts w:cs="Arial"/>
        </w:rPr>
        <w:t xml:space="preserve">evolve through experience from pilot projects, and this </w:t>
      </w:r>
      <w:r w:rsidR="008734E1" w:rsidRPr="0050011A">
        <w:rPr>
          <w:rFonts w:cs="Arial"/>
        </w:rPr>
        <w:t>framework applies that approach within the Inzicht Verlicht context</w:t>
      </w:r>
      <w:r w:rsidR="00317D77" w:rsidRPr="0050011A">
        <w:rPr>
          <w:rFonts w:cs="Arial"/>
        </w:rPr>
        <w:t xml:space="preserve">. By </w:t>
      </w:r>
      <w:r w:rsidR="00D11F31" w:rsidRPr="0050011A">
        <w:rPr>
          <w:rFonts w:cs="Arial"/>
        </w:rPr>
        <w:t>explicitly showing where the framework follows the Blueprint</w:t>
      </w:r>
      <w:r w:rsidR="004D47F9" w:rsidRPr="0050011A">
        <w:rPr>
          <w:rFonts w:cs="Arial"/>
        </w:rPr>
        <w:t xml:space="preserve"> and </w:t>
      </w:r>
      <w:r w:rsidR="00270827" w:rsidRPr="0050011A">
        <w:rPr>
          <w:rFonts w:cs="Arial"/>
        </w:rPr>
        <w:t xml:space="preserve">showing where it </w:t>
      </w:r>
      <w:r w:rsidR="000A1059" w:rsidRPr="0050011A">
        <w:rPr>
          <w:rFonts w:cs="Arial"/>
        </w:rPr>
        <w:t>expands beyond it</w:t>
      </w:r>
      <w:r w:rsidR="00F1403F" w:rsidRPr="0050011A">
        <w:rPr>
          <w:rFonts w:cs="Arial"/>
        </w:rPr>
        <w:t xml:space="preserve">, the framework makes sure that the Inzicht Verlicht dataspace is </w:t>
      </w:r>
      <w:r w:rsidR="005C3CE2">
        <w:rPr>
          <w:rFonts w:cs="Arial"/>
        </w:rPr>
        <w:t>n</w:t>
      </w:r>
      <w:r w:rsidR="00F1403F" w:rsidRPr="0050011A">
        <w:rPr>
          <w:rFonts w:cs="Arial"/>
        </w:rPr>
        <w:t xml:space="preserve">ot </w:t>
      </w:r>
      <w:r w:rsidR="001C5F96" w:rsidRPr="0050011A">
        <w:rPr>
          <w:rFonts w:cs="Arial"/>
        </w:rPr>
        <w:t>aligned</w:t>
      </w:r>
      <w:r w:rsidR="00F1403F" w:rsidRPr="0050011A">
        <w:rPr>
          <w:rFonts w:cs="Arial"/>
        </w:rPr>
        <w:t xml:space="preserve"> with the current European standards </w:t>
      </w:r>
      <w:r w:rsidR="001C5F96" w:rsidRPr="0050011A">
        <w:rPr>
          <w:rFonts w:cs="Arial"/>
        </w:rPr>
        <w:t>and is able to contribute to the further development of it.</w:t>
      </w:r>
    </w:p>
    <w:p w14:paraId="55F4E0E6" w14:textId="77777777" w:rsidR="00366549" w:rsidRPr="0050011A" w:rsidRDefault="00366549" w:rsidP="00366549">
      <w:pPr>
        <w:pStyle w:val="Heading2"/>
        <w:rPr>
          <w:rFonts w:cs="Arial"/>
        </w:rPr>
      </w:pPr>
      <w:bookmarkStart w:id="50" w:name="_Toc230347186"/>
      <w:bookmarkStart w:id="51" w:name="_Toc1591050485"/>
      <w:r w:rsidRPr="54AD4DA9">
        <w:rPr>
          <w:rFonts w:cs="Arial"/>
        </w:rPr>
        <w:t>4.4 The FAIR and CARE Principles</w:t>
      </w:r>
      <w:bookmarkEnd w:id="50"/>
      <w:bookmarkEnd w:id="51"/>
    </w:p>
    <w:p w14:paraId="0025D309" w14:textId="7777777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 xml:space="preserve">The FAIR principles were introduced in 2016 by Wilkinson et al. in the scientific journal </w:t>
      </w:r>
      <w:r w:rsidRPr="0050011A">
        <w:rPr>
          <w:rFonts w:eastAsia="Times New Roman" w:cs="Arial"/>
          <w:i/>
          <w:kern w:val="0"/>
          <w:lang w:val="en-GB" w:eastAsia="nl-NL"/>
          <w14:ligatures w14:val="none"/>
        </w:rPr>
        <w:t>Scientific Data</w:t>
      </w:r>
      <w:r w:rsidRPr="0050011A">
        <w:rPr>
          <w:rFonts w:eastAsia="Times New Roman" w:cs="Arial"/>
          <w:kern w:val="0"/>
          <w:lang w:val="en-GB" w:eastAsia="nl-NL"/>
          <w14:ligatures w14:val="none"/>
        </w:rPr>
        <w:t xml:space="preserve"> and describe four quality standards for managing and sharing data: Findable, Accessible, Interoperable and Reusable. Although the principles were originally intended for scientific data, they are now applied much more broadly in data governance, and have been adopted by the European data strategy as a guideline for data sharing within dataspaces. The DS4SSCC Blueprint includes FAIR as part of the governance framework for European smart city dataspaces.</w:t>
      </w:r>
    </w:p>
    <w:p w14:paraId="461DB59E" w14:textId="7777777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It is important not to see FAIR as a technical checklist, but as a set of governance requirements that determine how data is described, managed and made available. In the context of the Inzicht Verlicht dataspace, this means the following.</w:t>
      </w:r>
    </w:p>
    <w:p w14:paraId="7CCD54D3" w14:textId="7777777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b/>
          <w:kern w:val="0"/>
          <w:lang w:val="en-GB" w:eastAsia="nl-NL"/>
          <w14:ligatures w14:val="none"/>
        </w:rPr>
        <w:t>Findable</w:t>
      </w:r>
      <w:r w:rsidRPr="0050011A">
        <w:rPr>
          <w:rFonts w:eastAsia="Times New Roman" w:cs="Arial"/>
          <w:kern w:val="0"/>
          <w:lang w:val="en-GB" w:eastAsia="nl-NL"/>
          <w14:ligatures w14:val="none"/>
        </w:rPr>
        <w:t xml:space="preserve"> is about whether data can actually be found. Data must be described with machine-readable metadata, so that both people and systems can find out what data is available, where to find it and what the terms of use are. The DS4SSCC Blueprint states that metadata must be based on recognised standards such as DCATv3 and ODRL, and that the data offering must be published in a shared catalogue. For Inzicht Verlicht, this means that the traffic and air quality data from the J.F. Kennedylaan must be given structured metadata, and that a catalogue must be available for the participants of the dataspace. Without a catalogue, nobody knows exactly what is available, and then findability is already a problem.</w:t>
      </w:r>
    </w:p>
    <w:p w14:paraId="6C3C167D" w14:textId="7777777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b/>
          <w:kern w:val="0"/>
          <w:lang w:val="en-GB" w:eastAsia="nl-NL"/>
          <w14:ligatures w14:val="none"/>
        </w:rPr>
        <w:lastRenderedPageBreak/>
        <w:t>Accessible</w:t>
      </w:r>
      <w:r w:rsidRPr="0050011A">
        <w:rPr>
          <w:rFonts w:eastAsia="Times New Roman" w:cs="Arial"/>
          <w:kern w:val="0"/>
          <w:lang w:val="en-GB" w:eastAsia="nl-NL"/>
          <w14:ligatures w14:val="none"/>
        </w:rPr>
        <w:t xml:space="preserve"> is about accessibility, but not in the sense of open to everyone. In a dataspace context, accessibility means that there are clear, standardised procedures to gain access. Data does not have to be public, but it must be clear who can request access, how that works and under what conditions. The Blueprint states that access policies must be described using standardised languages like ODRL (Open Digital Rights Language), so that access rules are machine-readable and enforceable. For Inzicht Verlicht, this means that the distinction between open data and restricted data must be formally established, and that the access procedures described in sections 5.3 and 5.4 of this document connect directly to this requirement.</w:t>
      </w:r>
    </w:p>
    <w:p w14:paraId="5837B291" w14:textId="72B51A3D" w:rsidR="002A2A96" w:rsidRPr="0050011A" w:rsidRDefault="00447E1C" w:rsidP="002A2A96">
      <w:pPr>
        <w:spacing w:before="100" w:beforeAutospacing="1" w:after="100" w:afterAutospacing="1" w:line="240" w:lineRule="auto"/>
        <w:rPr>
          <w:rFonts w:eastAsia="Times New Roman" w:cs="Arial"/>
          <w:kern w:val="0"/>
          <w:lang w:val="en-GB" w:eastAsia="nl-NL"/>
          <w14:ligatures w14:val="none"/>
        </w:rPr>
      </w:pPr>
      <w:r>
        <w:rPr>
          <w:rFonts w:eastAsia="Times New Roman" w:cs="Arial"/>
          <w:b/>
          <w:kern w:val="0"/>
          <w:lang w:val="en-GB" w:eastAsia="nl-NL"/>
          <w14:ligatures w14:val="none"/>
        </w:rPr>
        <w:t>Interoperability</w:t>
      </w:r>
      <w:r w:rsidR="002A2A96" w:rsidRPr="0050011A">
        <w:rPr>
          <w:rFonts w:eastAsia="Times New Roman" w:cs="Arial"/>
          <w:kern w:val="0"/>
          <w:lang w:val="en-GB" w:eastAsia="nl-NL"/>
          <w14:ligatures w14:val="none"/>
        </w:rPr>
        <w:t xml:space="preserve"> is about whether data can work together with other datasets, including those outside the organisation or system. This requires the use of recognised standards for data formats and metadata. In the broader DS4SSCC context, this also matters for the future: if the Inzicht Verlicht dataspace ever wants to connect to a larger European network of smart city dataspaces, the data and descriptions must be technically ready for that. All DS4SSCC pilot projects, including CitizenCity, use DCAT-AP as the standard for describing datasets. That is a concrete starting point for the technical setup.</w:t>
      </w:r>
    </w:p>
    <w:p w14:paraId="6BCA59F0" w14:textId="7777777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b/>
          <w:kern w:val="0"/>
          <w:lang w:val="en-GB" w:eastAsia="nl-NL"/>
          <w14:ligatures w14:val="none"/>
        </w:rPr>
        <w:t>Reusable</w:t>
      </w:r>
      <w:r w:rsidRPr="0050011A">
        <w:rPr>
          <w:rFonts w:eastAsia="Times New Roman" w:cs="Arial"/>
          <w:kern w:val="0"/>
          <w:lang w:val="en-GB" w:eastAsia="nl-NL"/>
          <w14:ligatures w14:val="none"/>
        </w:rPr>
        <w:t xml:space="preserve"> is about making sure data can be used by multiple parties and for multiple purposes, as long as that falls within the agreed governance frameworks. This requires clear licence terms and usage restrictions per dataset, so users know what is and is not allowed. In the governance framework of this document, this is reflected in the requirement that each use-case-specific data sharing agreement (section 5.2) states the purpose, duration and conditions under which data may be used.</w:t>
      </w:r>
    </w:p>
    <w:p w14:paraId="4CE9304B" w14:textId="7777777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The CARE principles are a complement to FAIR from the perspective of collective interest and social responsibility. CARE stands for Collective Benefit, Authority to Control, Responsibility and Ethics. They were developed in the context of indigenous data rights, but are now also used more broadly in situations where data relates to communities or vulnerable groups. The DS4SSCC Blueprint recommends applying CARE where it makes sense, particularly in situations where data touches on the public domain or on groups that are not directly represented in the governance process.</w:t>
      </w:r>
    </w:p>
    <w:p w14:paraId="28EE7A80" w14:textId="51133F67" w:rsidR="002A2A96" w:rsidRPr="0050011A" w:rsidRDefault="002A2A96" w:rsidP="002A2A96">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 xml:space="preserve">In the context of Inzicht Verlicht, CARE becomes relevant when traffic and air quality data </w:t>
      </w:r>
      <w:r w:rsidR="00447E1C">
        <w:rPr>
          <w:rFonts w:eastAsia="Times New Roman" w:cs="Arial"/>
          <w:kern w:val="0"/>
          <w:lang w:val="en-GB" w:eastAsia="nl-NL"/>
          <w14:ligatures w14:val="none"/>
        </w:rPr>
        <w:t>are</w:t>
      </w:r>
      <w:r w:rsidRPr="0050011A">
        <w:rPr>
          <w:rFonts w:eastAsia="Times New Roman" w:cs="Arial"/>
          <w:kern w:val="0"/>
          <w:lang w:val="en-GB" w:eastAsia="nl-NL"/>
          <w14:ligatures w14:val="none"/>
        </w:rPr>
        <w:t xml:space="preserve"> used to make policy decisions that directly affect the living environment of residents. Citizens are not participants in the dataspace, but they are the ones who experience the consequences of decisions made based on that data. CARE then calls for active transparency towards citizens, not only about what is being measured, but also about what is done with that data and who is responsible for it. This principle comes back in the transparency requirement that is worked out as a governance obligation in section 4.2.</w:t>
      </w:r>
    </w:p>
    <w:p w14:paraId="7C68A4C7" w14:textId="00B4DCF6" w:rsidR="00071036" w:rsidRPr="0050011A" w:rsidRDefault="002A2A96" w:rsidP="002A2A96">
      <w:pPr>
        <w:rPr>
          <w:rFonts w:eastAsia="Times New Roman" w:cs="Arial"/>
          <w:kern w:val="0"/>
          <w:lang w:val="en-GB" w:eastAsia="nl-NL"/>
          <w14:ligatures w14:val="none"/>
        </w:rPr>
      </w:pPr>
      <w:r w:rsidRPr="0050011A">
        <w:rPr>
          <w:rFonts w:eastAsia="Times New Roman" w:cs="Arial"/>
          <w:kern w:val="0"/>
          <w:lang w:val="en-GB" w:eastAsia="nl-NL"/>
          <w14:ligatures w14:val="none"/>
        </w:rPr>
        <w:t>Together, FAIR and CARE provide a useful framework for assessing the quality and responsibility of data governance. They do not replace legal obligations, but they complement them by giving direction to how data should be managed, shared and accounted for within a dataspace like Inzicht Verlicht.</w:t>
      </w:r>
    </w:p>
    <w:p w14:paraId="54133A6A" w14:textId="50D26D86" w:rsidR="00071036" w:rsidRPr="0050011A" w:rsidRDefault="008224BB" w:rsidP="002A2A96">
      <w:pPr>
        <w:rPr>
          <w:rFonts w:eastAsia="Times New Roman" w:cs="Arial"/>
          <w:kern w:val="0"/>
          <w:lang w:val="en-GB" w:eastAsia="nl-NL"/>
          <w14:ligatures w14:val="none"/>
        </w:rPr>
      </w:pPr>
      <w:r w:rsidRPr="0050011A">
        <w:rPr>
          <w:rFonts w:eastAsia="Times New Roman" w:cs="Arial"/>
          <w:kern w:val="0"/>
          <w:lang w:val="en-GB" w:eastAsia="nl-NL"/>
          <w14:ligatures w14:val="none"/>
        </w:rPr>
        <w:br w:type="page"/>
      </w:r>
    </w:p>
    <w:p w14:paraId="03899EA8" w14:textId="3E40ABAE" w:rsidR="00E612DD" w:rsidRPr="0050011A" w:rsidRDefault="00E612DD" w:rsidP="00E612DD">
      <w:pPr>
        <w:pStyle w:val="Heading1"/>
        <w:rPr>
          <w:rFonts w:cs="Arial"/>
        </w:rPr>
      </w:pPr>
      <w:bookmarkStart w:id="52" w:name="_Toc230347187"/>
      <w:bookmarkStart w:id="53" w:name="_Toc1345659251"/>
      <w:r w:rsidRPr="54AD4DA9">
        <w:rPr>
          <w:rFonts w:cs="Arial"/>
        </w:rPr>
        <w:lastRenderedPageBreak/>
        <w:t>5. The Governance Framework</w:t>
      </w:r>
      <w:bookmarkEnd w:id="52"/>
      <w:bookmarkEnd w:id="53"/>
      <w:r w:rsidR="23DE99DA" w:rsidRPr="54AD4DA9">
        <w:rPr>
          <w:rFonts w:cs="Arial"/>
        </w:rPr>
        <w:t xml:space="preserve"> </w:t>
      </w:r>
    </w:p>
    <w:p w14:paraId="7C40ADFB" w14:textId="5B20BC66" w:rsidR="0079393A" w:rsidRPr="0050011A" w:rsidRDefault="0079393A" w:rsidP="0079393A">
      <w:pPr>
        <w:pStyle w:val="Heading2"/>
        <w:rPr>
          <w:rFonts w:cs="Arial"/>
        </w:rPr>
      </w:pPr>
      <w:bookmarkStart w:id="54" w:name="_Toc230347188"/>
      <w:bookmarkStart w:id="55" w:name="_Toc1759994958"/>
      <w:r w:rsidRPr="54AD4DA9">
        <w:rPr>
          <w:rFonts w:cs="Arial"/>
        </w:rPr>
        <w:t>5.1 Roles and Responsibilities</w:t>
      </w:r>
      <w:bookmarkEnd w:id="54"/>
      <w:bookmarkEnd w:id="55"/>
    </w:p>
    <w:p w14:paraId="261874F8" w14:textId="6A9309F9" w:rsidR="00E970DE" w:rsidRPr="0050011A" w:rsidRDefault="00A00C58" w:rsidP="0079393A">
      <w:pPr>
        <w:rPr>
          <w:rFonts w:cs="Arial"/>
        </w:rPr>
      </w:pPr>
      <w:r w:rsidRPr="0050011A">
        <w:rPr>
          <w:rFonts w:cs="Arial"/>
        </w:rPr>
        <w:t xml:space="preserve">A governance framework is only </w:t>
      </w:r>
      <w:r w:rsidR="00D51614" w:rsidRPr="0050011A">
        <w:rPr>
          <w:rFonts w:cs="Arial"/>
        </w:rPr>
        <w:t xml:space="preserve">as strong </w:t>
      </w:r>
      <w:r w:rsidR="004259F3" w:rsidRPr="0050011A">
        <w:rPr>
          <w:rFonts w:cs="Arial"/>
        </w:rPr>
        <w:t>as the clarity of who is responsible for what. Defining r</w:t>
      </w:r>
      <w:r w:rsidR="00276024" w:rsidRPr="0050011A">
        <w:rPr>
          <w:rFonts w:cs="Arial"/>
        </w:rPr>
        <w:t xml:space="preserve">oles is not simply an </w:t>
      </w:r>
      <w:r w:rsidR="00447E1C">
        <w:rPr>
          <w:rFonts w:cs="Arial"/>
        </w:rPr>
        <w:t>organisational</w:t>
      </w:r>
      <w:r w:rsidR="00276024" w:rsidRPr="0050011A">
        <w:rPr>
          <w:rFonts w:cs="Arial"/>
        </w:rPr>
        <w:t xml:space="preserve"> exercise</w:t>
      </w:r>
      <w:r w:rsidR="00352C3D" w:rsidRPr="0050011A">
        <w:rPr>
          <w:rFonts w:cs="Arial"/>
        </w:rPr>
        <w:t xml:space="preserve">. It determines who can be held accountable when something </w:t>
      </w:r>
      <w:r w:rsidR="00793C9D" w:rsidRPr="0050011A">
        <w:rPr>
          <w:rFonts w:cs="Arial"/>
        </w:rPr>
        <w:t xml:space="preserve">goes wrong, who has </w:t>
      </w:r>
      <w:r w:rsidR="004A58A1" w:rsidRPr="0050011A">
        <w:rPr>
          <w:rFonts w:cs="Arial"/>
        </w:rPr>
        <w:t xml:space="preserve">the authority to intervene, and </w:t>
      </w:r>
      <w:r w:rsidR="00081094" w:rsidRPr="0050011A">
        <w:rPr>
          <w:rFonts w:cs="Arial"/>
        </w:rPr>
        <w:t xml:space="preserve">who carries the </w:t>
      </w:r>
      <w:r w:rsidR="002A291B" w:rsidRPr="0050011A">
        <w:rPr>
          <w:rFonts w:cs="Arial"/>
        </w:rPr>
        <w:t xml:space="preserve">ethical responsibility for ensuring the dataspace </w:t>
      </w:r>
      <w:r w:rsidR="003E4563" w:rsidRPr="0050011A">
        <w:rPr>
          <w:rFonts w:cs="Arial"/>
        </w:rPr>
        <w:t>opera</w:t>
      </w:r>
      <w:r w:rsidR="000E0993" w:rsidRPr="0050011A">
        <w:rPr>
          <w:rFonts w:cs="Arial"/>
        </w:rPr>
        <w:t xml:space="preserve">tes as intended. The roles below </w:t>
      </w:r>
      <w:r w:rsidR="00E53C0E" w:rsidRPr="0050011A">
        <w:rPr>
          <w:rFonts w:cs="Arial"/>
        </w:rPr>
        <w:t>are</w:t>
      </w:r>
      <w:r w:rsidR="007675EC" w:rsidRPr="0050011A">
        <w:rPr>
          <w:rFonts w:cs="Arial"/>
        </w:rPr>
        <w:t xml:space="preserve"> defined by what they do, what they are accountable </w:t>
      </w:r>
      <w:r w:rsidR="00A01498" w:rsidRPr="0050011A">
        <w:rPr>
          <w:rFonts w:cs="Arial"/>
        </w:rPr>
        <w:t xml:space="preserve">for, and what ethical obligations they carry. </w:t>
      </w:r>
      <w:r w:rsidR="00BE47CC" w:rsidRPr="0050011A">
        <w:rPr>
          <w:rFonts w:cs="Arial"/>
        </w:rPr>
        <w:t xml:space="preserve">Where a </w:t>
      </w:r>
      <w:r w:rsidR="006700B9">
        <w:rPr>
          <w:rFonts w:cs="Arial"/>
        </w:rPr>
        <w:t>role</w:t>
      </w:r>
      <w:r w:rsidR="00BE47CC" w:rsidRPr="0050011A">
        <w:rPr>
          <w:rFonts w:cs="Arial"/>
        </w:rPr>
        <w:t xml:space="preserve"> carries inherent tensions or limitations, these are also exposed.</w:t>
      </w:r>
    </w:p>
    <w:p w14:paraId="20F0807C" w14:textId="7C1278A6" w:rsidR="00BE47CC" w:rsidRPr="0050011A" w:rsidRDefault="00BE47CC" w:rsidP="00BE47CC">
      <w:pPr>
        <w:pStyle w:val="Heading3"/>
        <w:rPr>
          <w:rFonts w:cs="Arial"/>
        </w:rPr>
      </w:pPr>
      <w:bookmarkStart w:id="56" w:name="_Toc469163000"/>
      <w:r w:rsidRPr="54AD4DA9">
        <w:rPr>
          <w:rFonts w:cs="Arial"/>
        </w:rPr>
        <w:t>5.1.1 Governance Authority</w:t>
      </w:r>
      <w:bookmarkEnd w:id="56"/>
    </w:p>
    <w:p w14:paraId="2A8038E4" w14:textId="596F4EF0" w:rsidR="00BE47CC" w:rsidRPr="0050011A" w:rsidRDefault="00BE47CC" w:rsidP="00BE47CC">
      <w:pPr>
        <w:rPr>
          <w:rFonts w:cs="Arial"/>
        </w:rPr>
      </w:pPr>
      <w:r w:rsidRPr="0050011A">
        <w:rPr>
          <w:rFonts w:cs="Arial"/>
        </w:rPr>
        <w:t xml:space="preserve">The Governance Authority </w:t>
      </w:r>
      <w:r w:rsidR="00CB1F74" w:rsidRPr="0050011A">
        <w:rPr>
          <w:rFonts w:cs="Arial"/>
        </w:rPr>
        <w:t>holds ulti</w:t>
      </w:r>
      <w:r w:rsidR="00EB4308" w:rsidRPr="0050011A">
        <w:rPr>
          <w:rFonts w:cs="Arial"/>
        </w:rPr>
        <w:t xml:space="preserve">mate oversight over the dataspace. It sets the rules that all participants </w:t>
      </w:r>
      <w:r w:rsidR="00433B50" w:rsidRPr="0050011A">
        <w:rPr>
          <w:rFonts w:cs="Arial"/>
        </w:rPr>
        <w:t xml:space="preserve">must follow, approves changes </w:t>
      </w:r>
      <w:r w:rsidR="00AD1DB6" w:rsidRPr="0050011A">
        <w:rPr>
          <w:rFonts w:cs="Arial"/>
        </w:rPr>
        <w:t>to the governance framework, and ensures that</w:t>
      </w:r>
      <w:r w:rsidR="004E1E4A" w:rsidRPr="0050011A">
        <w:rPr>
          <w:rFonts w:cs="Arial"/>
        </w:rPr>
        <w:t xml:space="preserve"> the dataspace </w:t>
      </w:r>
      <w:r w:rsidR="00F36C7F" w:rsidRPr="0050011A">
        <w:rPr>
          <w:rFonts w:cs="Arial"/>
        </w:rPr>
        <w:t>continues</w:t>
      </w:r>
      <w:r w:rsidR="004D0CB9" w:rsidRPr="0050011A">
        <w:rPr>
          <w:rFonts w:cs="Arial"/>
        </w:rPr>
        <w:t xml:space="preserve"> to serve its intended public purpose. It is </w:t>
      </w:r>
      <w:r w:rsidR="001B73D2" w:rsidRPr="0050011A">
        <w:rPr>
          <w:rFonts w:cs="Arial"/>
        </w:rPr>
        <w:t xml:space="preserve">responsible for reviewing compliance, handling </w:t>
      </w:r>
      <w:r w:rsidR="00A65AE8" w:rsidRPr="0050011A">
        <w:rPr>
          <w:rFonts w:cs="Arial"/>
        </w:rPr>
        <w:t xml:space="preserve">escalated </w:t>
      </w:r>
      <w:r w:rsidR="003B4E47" w:rsidRPr="0050011A">
        <w:rPr>
          <w:rFonts w:cs="Arial"/>
        </w:rPr>
        <w:t xml:space="preserve">disputes, and </w:t>
      </w:r>
      <w:r w:rsidR="008F4007" w:rsidRPr="0050011A">
        <w:rPr>
          <w:rFonts w:cs="Arial"/>
        </w:rPr>
        <w:t>acting</w:t>
      </w:r>
      <w:r w:rsidR="003B4E47" w:rsidRPr="0050011A">
        <w:rPr>
          <w:rFonts w:cs="Arial"/>
        </w:rPr>
        <w:t xml:space="preserve"> when </w:t>
      </w:r>
      <w:r w:rsidR="00B66E95" w:rsidRPr="0050011A">
        <w:rPr>
          <w:rFonts w:cs="Arial"/>
        </w:rPr>
        <w:t>viola</w:t>
      </w:r>
      <w:r w:rsidR="0064669B" w:rsidRPr="0050011A">
        <w:rPr>
          <w:rFonts w:cs="Arial"/>
        </w:rPr>
        <w:t>tions occur</w:t>
      </w:r>
      <w:r w:rsidR="008F4007" w:rsidRPr="0050011A">
        <w:rPr>
          <w:rFonts w:cs="Arial"/>
        </w:rPr>
        <w:t xml:space="preserve">. </w:t>
      </w:r>
    </w:p>
    <w:p w14:paraId="329C2394" w14:textId="7B9B2042" w:rsidR="008F4007" w:rsidRPr="0050011A" w:rsidRDefault="008F4007" w:rsidP="00BE47CC">
      <w:pPr>
        <w:rPr>
          <w:rFonts w:cs="Arial"/>
        </w:rPr>
      </w:pPr>
      <w:r w:rsidRPr="0050011A">
        <w:rPr>
          <w:rFonts w:cs="Arial"/>
        </w:rPr>
        <w:t>Its</w:t>
      </w:r>
      <w:r w:rsidR="00142E85" w:rsidRPr="0050011A">
        <w:rPr>
          <w:rFonts w:cs="Arial"/>
        </w:rPr>
        <w:t xml:space="preserve"> accountability </w:t>
      </w:r>
      <w:r w:rsidR="00007547" w:rsidRPr="0050011A">
        <w:rPr>
          <w:rFonts w:cs="Arial"/>
        </w:rPr>
        <w:t xml:space="preserve">extends beyond </w:t>
      </w:r>
      <w:r w:rsidR="00B93273" w:rsidRPr="0050011A">
        <w:rPr>
          <w:rFonts w:cs="Arial"/>
        </w:rPr>
        <w:t>procedural correctness. The Governance Authority is ethically accountable for ensuring th</w:t>
      </w:r>
      <w:r w:rsidR="0016631F" w:rsidRPr="0050011A">
        <w:rPr>
          <w:rFonts w:cs="Arial"/>
        </w:rPr>
        <w:t xml:space="preserve">e dataspace </w:t>
      </w:r>
      <w:r w:rsidR="004A3134" w:rsidRPr="0050011A">
        <w:rPr>
          <w:rFonts w:cs="Arial"/>
        </w:rPr>
        <w:t xml:space="preserve">operates </w:t>
      </w:r>
      <w:r w:rsidR="0070382A" w:rsidRPr="0050011A">
        <w:rPr>
          <w:rFonts w:cs="Arial"/>
        </w:rPr>
        <w:t xml:space="preserve">in the </w:t>
      </w:r>
      <w:r w:rsidR="00E7100C" w:rsidRPr="0050011A">
        <w:rPr>
          <w:rFonts w:cs="Arial"/>
        </w:rPr>
        <w:t xml:space="preserve">public </w:t>
      </w:r>
      <w:r w:rsidR="00F25784" w:rsidRPr="0050011A">
        <w:rPr>
          <w:rFonts w:cs="Arial"/>
        </w:rPr>
        <w:t xml:space="preserve">interest, not just in the interests of its </w:t>
      </w:r>
      <w:r w:rsidR="00860A70" w:rsidRPr="0050011A">
        <w:rPr>
          <w:rFonts w:cs="Arial"/>
        </w:rPr>
        <w:t xml:space="preserve">most powerful </w:t>
      </w:r>
      <w:r w:rsidR="003F64D4" w:rsidRPr="0050011A">
        <w:rPr>
          <w:rFonts w:cs="Arial"/>
        </w:rPr>
        <w:t xml:space="preserve">participants. </w:t>
      </w:r>
      <w:r w:rsidR="00C77B67" w:rsidRPr="0050011A">
        <w:rPr>
          <w:rFonts w:cs="Arial"/>
        </w:rPr>
        <w:t xml:space="preserve">This means it must </w:t>
      </w:r>
      <w:r w:rsidR="00281A65" w:rsidRPr="0050011A">
        <w:rPr>
          <w:rFonts w:cs="Arial"/>
        </w:rPr>
        <w:t>activ</w:t>
      </w:r>
      <w:r w:rsidR="00090EF6" w:rsidRPr="0050011A">
        <w:rPr>
          <w:rFonts w:cs="Arial"/>
        </w:rPr>
        <w:t>ely consider the impact of governance decisions on citizens, on smaller partic</w:t>
      </w:r>
      <w:r w:rsidR="00C31E5F" w:rsidRPr="0050011A">
        <w:rPr>
          <w:rFonts w:cs="Arial"/>
        </w:rPr>
        <w:t>ipants, and on the communi</w:t>
      </w:r>
      <w:r w:rsidR="00D12611" w:rsidRPr="0050011A">
        <w:rPr>
          <w:rFonts w:cs="Arial"/>
        </w:rPr>
        <w:t xml:space="preserve">ties </w:t>
      </w:r>
      <w:r w:rsidR="003B7FA1" w:rsidRPr="0050011A">
        <w:rPr>
          <w:rFonts w:cs="Arial"/>
        </w:rPr>
        <w:t xml:space="preserve">whose data is being used. Having formal </w:t>
      </w:r>
      <w:r w:rsidR="00EB5534" w:rsidRPr="0050011A">
        <w:rPr>
          <w:rFonts w:cs="Arial"/>
        </w:rPr>
        <w:t>authority is not sufficient</w:t>
      </w:r>
      <w:r w:rsidR="00CE50DF" w:rsidRPr="0050011A">
        <w:rPr>
          <w:rFonts w:cs="Arial"/>
        </w:rPr>
        <w:t xml:space="preserve">, that </w:t>
      </w:r>
      <w:r w:rsidR="00912BE1" w:rsidRPr="0050011A">
        <w:rPr>
          <w:rFonts w:cs="Arial"/>
        </w:rPr>
        <w:t>authority must be exe</w:t>
      </w:r>
      <w:r w:rsidR="00D22224" w:rsidRPr="0050011A">
        <w:rPr>
          <w:rFonts w:cs="Arial"/>
        </w:rPr>
        <w:t>rcised with a genuine commitment to fairness and public benefit.</w:t>
      </w:r>
    </w:p>
    <w:p w14:paraId="4B2A3026" w14:textId="27A878E4" w:rsidR="00D22224" w:rsidRPr="0050011A" w:rsidRDefault="00E85A82" w:rsidP="00BE47CC">
      <w:pPr>
        <w:rPr>
          <w:rFonts w:cs="Arial"/>
        </w:rPr>
      </w:pPr>
      <w:r w:rsidRPr="0050011A">
        <w:rPr>
          <w:rFonts w:cs="Arial"/>
          <w:i/>
        </w:rPr>
        <w:t xml:space="preserve">Limitation: </w:t>
      </w:r>
      <w:r w:rsidRPr="0050011A">
        <w:rPr>
          <w:rFonts w:cs="Arial"/>
        </w:rPr>
        <w:t xml:space="preserve">The </w:t>
      </w:r>
      <w:r w:rsidR="00622494" w:rsidRPr="0050011A">
        <w:rPr>
          <w:rFonts w:cs="Arial"/>
        </w:rPr>
        <w:t xml:space="preserve">Governance Authority must not be dominated by any single participant, particularly not by parties with a commercial </w:t>
      </w:r>
      <w:r w:rsidR="00D157C9" w:rsidRPr="0050011A">
        <w:rPr>
          <w:rFonts w:cs="Arial"/>
        </w:rPr>
        <w:t xml:space="preserve">interest in the dataspace’s outcomes. </w:t>
      </w:r>
      <w:r w:rsidR="00304CB9" w:rsidRPr="0050011A">
        <w:rPr>
          <w:rFonts w:cs="Arial"/>
        </w:rPr>
        <w:t>Its composition and dec</w:t>
      </w:r>
      <w:r w:rsidR="00467D95" w:rsidRPr="0050011A">
        <w:rPr>
          <w:rFonts w:cs="Arial"/>
        </w:rPr>
        <w:t xml:space="preserve">ision-making procedures </w:t>
      </w:r>
      <w:r w:rsidR="002A6345" w:rsidRPr="0050011A">
        <w:rPr>
          <w:rFonts w:cs="Arial"/>
        </w:rPr>
        <w:t xml:space="preserve">must be structurally </w:t>
      </w:r>
      <w:r w:rsidR="00E67BB0" w:rsidRPr="0050011A">
        <w:rPr>
          <w:rFonts w:cs="Arial"/>
        </w:rPr>
        <w:t>preventing</w:t>
      </w:r>
      <w:r w:rsidR="0015064B" w:rsidRPr="0050011A">
        <w:rPr>
          <w:rFonts w:cs="Arial"/>
        </w:rPr>
        <w:t xml:space="preserve"> capture </w:t>
      </w:r>
      <w:r w:rsidR="00A93F8F" w:rsidRPr="0050011A">
        <w:rPr>
          <w:rFonts w:cs="Arial"/>
        </w:rPr>
        <w:t>by any one actor.</w:t>
      </w:r>
    </w:p>
    <w:p w14:paraId="7E7DE2A6" w14:textId="1DB124FB" w:rsidR="00E67BB0" w:rsidRPr="0050011A" w:rsidRDefault="00E67BB0" w:rsidP="00E67BB0">
      <w:pPr>
        <w:pStyle w:val="Heading3"/>
        <w:rPr>
          <w:rFonts w:cs="Arial"/>
        </w:rPr>
      </w:pPr>
      <w:bookmarkStart w:id="57" w:name="_Toc1909939732"/>
      <w:r w:rsidRPr="54AD4DA9">
        <w:rPr>
          <w:rFonts w:cs="Arial"/>
        </w:rPr>
        <w:t>5.1.2 Coordinating Entity</w:t>
      </w:r>
      <w:bookmarkEnd w:id="57"/>
    </w:p>
    <w:p w14:paraId="699D060E" w14:textId="648A80C3" w:rsidR="00E67BB0" w:rsidRPr="0050011A" w:rsidRDefault="00747102" w:rsidP="00E67BB0">
      <w:pPr>
        <w:rPr>
          <w:rFonts w:cs="Arial"/>
        </w:rPr>
      </w:pPr>
      <w:r w:rsidRPr="0050011A">
        <w:rPr>
          <w:rFonts w:cs="Arial"/>
        </w:rPr>
        <w:t xml:space="preserve">The Coordinating Entity manages the operational running of the dataspace. </w:t>
      </w:r>
      <w:r w:rsidR="00F6225A" w:rsidRPr="0050011A">
        <w:rPr>
          <w:rFonts w:cs="Arial"/>
        </w:rPr>
        <w:t xml:space="preserve">It oversees </w:t>
      </w:r>
      <w:r w:rsidR="00B60F53" w:rsidRPr="0050011A">
        <w:rPr>
          <w:rFonts w:cs="Arial"/>
        </w:rPr>
        <w:t>onboarding</w:t>
      </w:r>
      <w:r w:rsidR="005631D8" w:rsidRPr="0050011A">
        <w:rPr>
          <w:rFonts w:cs="Arial"/>
        </w:rPr>
        <w:t xml:space="preserve"> and offboarding of participants, maintains the registry of active data-sharing agreements, coordinates technical </w:t>
      </w:r>
      <w:r w:rsidR="00E407E0" w:rsidRPr="0050011A">
        <w:rPr>
          <w:rFonts w:cs="Arial"/>
        </w:rPr>
        <w:t xml:space="preserve">standards, and serves as the first point of contact for operational issues. It translates governance decisions into practical procedures and ensures they are </w:t>
      </w:r>
      <w:r w:rsidR="002C4563" w:rsidRPr="0050011A">
        <w:rPr>
          <w:rFonts w:cs="Arial"/>
        </w:rPr>
        <w:t>consistently applied.</w:t>
      </w:r>
    </w:p>
    <w:p w14:paraId="696B2E1B" w14:textId="707B52B6" w:rsidR="002C4563" w:rsidRPr="0050011A" w:rsidRDefault="002C4563" w:rsidP="00E67BB0">
      <w:pPr>
        <w:rPr>
          <w:rFonts w:cs="Arial"/>
        </w:rPr>
      </w:pPr>
      <w:r w:rsidRPr="0050011A">
        <w:rPr>
          <w:rFonts w:cs="Arial"/>
        </w:rPr>
        <w:t xml:space="preserve">Its ethical responsibility goes beyond administration. The Coordinating Entity is ethically responsible </w:t>
      </w:r>
      <w:r w:rsidR="000418AD" w:rsidRPr="0050011A">
        <w:rPr>
          <w:rFonts w:cs="Arial"/>
        </w:rPr>
        <w:t xml:space="preserve">for ensuring that onboarding does not admit participants whose intended use </w:t>
      </w:r>
      <w:r w:rsidR="00D5521C" w:rsidRPr="0050011A">
        <w:rPr>
          <w:rFonts w:cs="Arial"/>
        </w:rPr>
        <w:t xml:space="preserve">conflicts with the ethical framework of the dataspace. </w:t>
      </w:r>
      <w:r w:rsidR="009D0985" w:rsidRPr="0050011A">
        <w:rPr>
          <w:rFonts w:cs="Arial"/>
        </w:rPr>
        <w:t>This means that onboarding</w:t>
      </w:r>
      <w:r w:rsidR="00EC0F4D" w:rsidRPr="0050011A">
        <w:rPr>
          <w:rFonts w:cs="Arial"/>
        </w:rPr>
        <w:t xml:space="preserve"> cannot be treated as </w:t>
      </w:r>
      <w:r w:rsidR="00BD2625" w:rsidRPr="0050011A">
        <w:rPr>
          <w:rFonts w:cs="Arial"/>
        </w:rPr>
        <w:t xml:space="preserve">a purely procedural step, it requires an active assessment of whether </w:t>
      </w:r>
      <w:r w:rsidR="00EE2BDA" w:rsidRPr="0050011A">
        <w:rPr>
          <w:rFonts w:cs="Arial"/>
        </w:rPr>
        <w:t>a pros</w:t>
      </w:r>
      <w:r w:rsidR="00656522" w:rsidRPr="0050011A">
        <w:rPr>
          <w:rFonts w:cs="Arial"/>
        </w:rPr>
        <w:t>pective participant’s data practices and intended</w:t>
      </w:r>
      <w:r w:rsidR="007052A9" w:rsidRPr="0050011A">
        <w:rPr>
          <w:rFonts w:cs="Arial"/>
        </w:rPr>
        <w:t xml:space="preserve"> purposes are genu</w:t>
      </w:r>
      <w:r w:rsidR="0011122F" w:rsidRPr="0050011A">
        <w:rPr>
          <w:rFonts w:cs="Arial"/>
        </w:rPr>
        <w:t xml:space="preserve">inely </w:t>
      </w:r>
      <w:r w:rsidR="00246D92" w:rsidRPr="0050011A">
        <w:rPr>
          <w:rFonts w:cs="Arial"/>
        </w:rPr>
        <w:t xml:space="preserve">compatible with the dataspace’s </w:t>
      </w:r>
      <w:r w:rsidR="00A43FC4" w:rsidRPr="0050011A">
        <w:rPr>
          <w:rFonts w:cs="Arial"/>
        </w:rPr>
        <w:t xml:space="preserve">values and legal obligations. Approving </w:t>
      </w:r>
      <w:r w:rsidR="005E0695" w:rsidRPr="0050011A">
        <w:rPr>
          <w:rFonts w:cs="Arial"/>
        </w:rPr>
        <w:t xml:space="preserve">participation </w:t>
      </w:r>
      <w:r w:rsidR="009B1C05" w:rsidRPr="0050011A">
        <w:rPr>
          <w:rFonts w:cs="Arial"/>
        </w:rPr>
        <w:t>carries moral weight, not just administrative significance.</w:t>
      </w:r>
    </w:p>
    <w:p w14:paraId="4F66F150" w14:textId="081283DB" w:rsidR="009B1C05" w:rsidRPr="0050011A" w:rsidRDefault="009B1C05" w:rsidP="00E67BB0">
      <w:pPr>
        <w:rPr>
          <w:rFonts w:cs="Arial"/>
        </w:rPr>
      </w:pPr>
      <w:r w:rsidRPr="0050011A">
        <w:rPr>
          <w:rFonts w:cs="Arial"/>
          <w:i/>
        </w:rPr>
        <w:t xml:space="preserve">Limitation: </w:t>
      </w:r>
      <w:r w:rsidRPr="0050011A">
        <w:rPr>
          <w:rFonts w:cs="Arial"/>
        </w:rPr>
        <w:t xml:space="preserve">The Coordinating Entity must not have decision-making authority over governance </w:t>
      </w:r>
      <w:r w:rsidR="006A3C35" w:rsidRPr="0050011A">
        <w:rPr>
          <w:rFonts w:cs="Arial"/>
        </w:rPr>
        <w:t>policy. Its role is operational</w:t>
      </w:r>
      <w:r w:rsidR="003C7B4A" w:rsidRPr="0050011A">
        <w:rPr>
          <w:rFonts w:cs="Arial"/>
        </w:rPr>
        <w:t>, not regulatory. Decisions that affect the rights or obl</w:t>
      </w:r>
      <w:r w:rsidR="005F0FC4" w:rsidRPr="0050011A">
        <w:rPr>
          <w:rFonts w:cs="Arial"/>
        </w:rPr>
        <w:t>igations of participants must be escalated to the Governance Authority.</w:t>
      </w:r>
    </w:p>
    <w:p w14:paraId="3C7D8A6E" w14:textId="166DA8CD" w:rsidR="005F0FC4" w:rsidRPr="0050011A" w:rsidRDefault="005F0FC4" w:rsidP="005F0FC4">
      <w:pPr>
        <w:pStyle w:val="Heading3"/>
        <w:rPr>
          <w:rFonts w:cs="Arial"/>
        </w:rPr>
      </w:pPr>
      <w:bookmarkStart w:id="58" w:name="_Toc707799175"/>
      <w:r w:rsidRPr="54AD4DA9">
        <w:rPr>
          <w:rFonts w:cs="Arial"/>
        </w:rPr>
        <w:t>5.1.3 Data Provider</w:t>
      </w:r>
      <w:bookmarkEnd w:id="58"/>
    </w:p>
    <w:p w14:paraId="574188B2" w14:textId="799AD17B" w:rsidR="005F0FC4" w:rsidRPr="0050011A" w:rsidRDefault="005F0FC4" w:rsidP="005F0FC4">
      <w:pPr>
        <w:rPr>
          <w:rFonts w:cs="Arial"/>
        </w:rPr>
      </w:pPr>
      <w:r w:rsidRPr="0050011A">
        <w:rPr>
          <w:rFonts w:cs="Arial"/>
        </w:rPr>
        <w:t xml:space="preserve">The Data Provider is any </w:t>
      </w:r>
      <w:r w:rsidR="008C1B11">
        <w:rPr>
          <w:rFonts w:cs="Arial"/>
        </w:rPr>
        <w:t>organisation</w:t>
      </w:r>
      <w:r w:rsidRPr="0050011A">
        <w:rPr>
          <w:rFonts w:cs="Arial"/>
        </w:rPr>
        <w:t xml:space="preserve"> or entity that contrib</w:t>
      </w:r>
      <w:r w:rsidR="009F4C48" w:rsidRPr="0050011A">
        <w:rPr>
          <w:rFonts w:cs="Arial"/>
        </w:rPr>
        <w:t xml:space="preserve">utes data to the dataspace. It is responsible for ensuring that the data </w:t>
      </w:r>
      <w:r w:rsidR="001B0AB0" w:rsidRPr="0050011A">
        <w:rPr>
          <w:rFonts w:cs="Arial"/>
        </w:rPr>
        <w:t>it shares is accurate, app</w:t>
      </w:r>
      <w:r w:rsidR="001028B0" w:rsidRPr="0050011A">
        <w:rPr>
          <w:rFonts w:cs="Arial"/>
        </w:rPr>
        <w:t>ropriately describe</w:t>
      </w:r>
      <w:r w:rsidR="003F31F7" w:rsidRPr="0050011A">
        <w:rPr>
          <w:rFonts w:cs="Arial"/>
        </w:rPr>
        <w:t xml:space="preserve">d and shared </w:t>
      </w:r>
      <w:r w:rsidR="000F19AD" w:rsidRPr="0050011A">
        <w:rPr>
          <w:rFonts w:cs="Arial"/>
        </w:rPr>
        <w:t xml:space="preserve">in </w:t>
      </w:r>
      <w:r w:rsidR="008F6C6B" w:rsidRPr="0050011A">
        <w:rPr>
          <w:rFonts w:cs="Arial"/>
        </w:rPr>
        <w:t>agreem</w:t>
      </w:r>
      <w:r w:rsidR="000D4904" w:rsidRPr="0050011A">
        <w:rPr>
          <w:rFonts w:cs="Arial"/>
        </w:rPr>
        <w:t>ent with applicable legal requirements. Including p</w:t>
      </w:r>
      <w:r w:rsidR="00A25B05" w:rsidRPr="0050011A">
        <w:rPr>
          <w:rFonts w:cs="Arial"/>
        </w:rPr>
        <w:t xml:space="preserve">urpose specification and any necessary </w:t>
      </w:r>
      <w:r w:rsidR="002C7FAD" w:rsidRPr="0050011A">
        <w:rPr>
          <w:rFonts w:cs="Arial"/>
        </w:rPr>
        <w:t xml:space="preserve">consent or legal basis. It must maintain records of what data it has </w:t>
      </w:r>
      <w:r w:rsidR="00AE47F1" w:rsidRPr="0050011A">
        <w:rPr>
          <w:rFonts w:cs="Arial"/>
        </w:rPr>
        <w:t>shared, with whom, and under what conditions.</w:t>
      </w:r>
    </w:p>
    <w:p w14:paraId="41264974" w14:textId="7F0AFF09" w:rsidR="00AE47F1" w:rsidRPr="0050011A" w:rsidRDefault="00B56C34" w:rsidP="005F0FC4">
      <w:pPr>
        <w:rPr>
          <w:rFonts w:cs="Arial"/>
        </w:rPr>
      </w:pPr>
      <w:r w:rsidRPr="0050011A">
        <w:rPr>
          <w:rFonts w:cs="Arial"/>
        </w:rPr>
        <w:t xml:space="preserve">Ethically, the Data Provider carries responsibility for the downstream </w:t>
      </w:r>
      <w:r w:rsidR="00CC3110" w:rsidRPr="0050011A">
        <w:rPr>
          <w:rFonts w:cs="Arial"/>
        </w:rPr>
        <w:t xml:space="preserve">consequences of sharing. Contributing </w:t>
      </w:r>
      <w:r w:rsidR="00206400" w:rsidRPr="0050011A">
        <w:rPr>
          <w:rFonts w:cs="Arial"/>
        </w:rPr>
        <w:t xml:space="preserve">data to the dataspace </w:t>
      </w:r>
      <w:r w:rsidR="00AF225D" w:rsidRPr="0050011A">
        <w:rPr>
          <w:rFonts w:cs="Arial"/>
        </w:rPr>
        <w:t>is not a neutral act</w:t>
      </w:r>
      <w:r w:rsidR="00BB387E" w:rsidRPr="0050011A">
        <w:rPr>
          <w:rFonts w:cs="Arial"/>
        </w:rPr>
        <w:t>, it ini</w:t>
      </w:r>
      <w:r w:rsidR="003D0A98" w:rsidRPr="0050011A">
        <w:rPr>
          <w:rFonts w:cs="Arial"/>
        </w:rPr>
        <w:t xml:space="preserve">tiates a chain of use that the provider </w:t>
      </w:r>
      <w:r w:rsidR="008B764C" w:rsidRPr="0050011A">
        <w:rPr>
          <w:rFonts w:cs="Arial"/>
        </w:rPr>
        <w:t xml:space="preserve">must </w:t>
      </w:r>
      <w:r w:rsidR="008B764C" w:rsidRPr="0050011A">
        <w:rPr>
          <w:rFonts w:cs="Arial"/>
        </w:rPr>
        <w:lastRenderedPageBreak/>
        <w:t xml:space="preserve">be able to justify. </w:t>
      </w:r>
      <w:r w:rsidR="009E2534" w:rsidRPr="0050011A">
        <w:rPr>
          <w:rFonts w:cs="Arial"/>
        </w:rPr>
        <w:t>This mean</w:t>
      </w:r>
      <w:r w:rsidR="00580CF1" w:rsidRPr="0050011A">
        <w:rPr>
          <w:rFonts w:cs="Arial"/>
        </w:rPr>
        <w:t xml:space="preserve">s providers are obligated to consider not only whether </w:t>
      </w:r>
      <w:r w:rsidR="003F3035" w:rsidRPr="0050011A">
        <w:rPr>
          <w:rFonts w:cs="Arial"/>
        </w:rPr>
        <w:t xml:space="preserve">sharing is legally permissible, but whether it is appropriate given the potential impacts </w:t>
      </w:r>
      <w:r w:rsidR="004F5FA8" w:rsidRPr="0050011A">
        <w:rPr>
          <w:rFonts w:cs="Arial"/>
        </w:rPr>
        <w:t>on the individuals or communities the data concerns.</w:t>
      </w:r>
    </w:p>
    <w:p w14:paraId="2D9ED4A8" w14:textId="42A1258D" w:rsidR="004F5FA8" w:rsidRPr="0050011A" w:rsidRDefault="004F5FA8" w:rsidP="005F0FC4">
      <w:pPr>
        <w:rPr>
          <w:rFonts w:cs="Arial"/>
        </w:rPr>
      </w:pPr>
      <w:r w:rsidRPr="0050011A">
        <w:rPr>
          <w:rFonts w:cs="Arial"/>
          <w:i/>
        </w:rPr>
        <w:t xml:space="preserve">Limitation: </w:t>
      </w:r>
      <w:r w:rsidRPr="0050011A">
        <w:rPr>
          <w:rFonts w:cs="Arial"/>
        </w:rPr>
        <w:t xml:space="preserve">Data Providers do not retain the right to dictate </w:t>
      </w:r>
      <w:r w:rsidR="0033195F" w:rsidRPr="0050011A">
        <w:rPr>
          <w:rFonts w:cs="Arial"/>
        </w:rPr>
        <w:t xml:space="preserve">how data is used once it has been shared </w:t>
      </w:r>
      <w:r w:rsidR="00175B85" w:rsidRPr="0050011A">
        <w:rPr>
          <w:rFonts w:cs="Arial"/>
        </w:rPr>
        <w:t xml:space="preserve">under an agreed data-sharing agreement. However, they retain the right to withdraw participation if they have reason to believe their data is being used outside </w:t>
      </w:r>
      <w:r w:rsidR="003E2A29">
        <w:rPr>
          <w:rFonts w:cs="Arial"/>
        </w:rPr>
        <w:t xml:space="preserve">the </w:t>
      </w:r>
      <w:r w:rsidR="00175B85" w:rsidRPr="0050011A">
        <w:rPr>
          <w:rFonts w:cs="Arial"/>
        </w:rPr>
        <w:t>agreed conditions.</w:t>
      </w:r>
    </w:p>
    <w:p w14:paraId="67DDFE33" w14:textId="2AB97A59" w:rsidR="00175B85" w:rsidRPr="0050011A" w:rsidRDefault="00175B85" w:rsidP="00175B85">
      <w:pPr>
        <w:pStyle w:val="Heading3"/>
        <w:rPr>
          <w:rFonts w:cs="Arial"/>
        </w:rPr>
      </w:pPr>
      <w:bookmarkStart w:id="59" w:name="_Toc1972005644"/>
      <w:r w:rsidRPr="54AD4DA9">
        <w:rPr>
          <w:rFonts w:cs="Arial"/>
        </w:rPr>
        <w:t>5.1.4 Data User</w:t>
      </w:r>
      <w:bookmarkEnd w:id="59"/>
    </w:p>
    <w:p w14:paraId="557B39E6" w14:textId="4FE09787" w:rsidR="00175B85" w:rsidRPr="0050011A" w:rsidRDefault="000D094C" w:rsidP="00175B85">
      <w:pPr>
        <w:rPr>
          <w:rFonts w:cs="Arial"/>
        </w:rPr>
      </w:pPr>
      <w:r w:rsidRPr="0050011A">
        <w:rPr>
          <w:rFonts w:cs="Arial"/>
        </w:rPr>
        <w:t>The Data User</w:t>
      </w:r>
      <w:r w:rsidR="00547D08" w:rsidRPr="0050011A">
        <w:rPr>
          <w:rFonts w:cs="Arial"/>
        </w:rPr>
        <w:t xml:space="preserve"> is any </w:t>
      </w:r>
      <w:r w:rsidR="003E2A29">
        <w:rPr>
          <w:rFonts w:cs="Arial"/>
        </w:rPr>
        <w:t>organisation</w:t>
      </w:r>
      <w:r w:rsidR="00547D08" w:rsidRPr="0050011A">
        <w:rPr>
          <w:rFonts w:cs="Arial"/>
        </w:rPr>
        <w:t xml:space="preserve"> or entity that accesses data from the dataspace </w:t>
      </w:r>
      <w:r w:rsidR="003D0FE6" w:rsidRPr="0050011A">
        <w:rPr>
          <w:rFonts w:cs="Arial"/>
        </w:rPr>
        <w:t>for a defined purpose</w:t>
      </w:r>
      <w:r w:rsidR="00C13A32" w:rsidRPr="0050011A">
        <w:rPr>
          <w:rFonts w:cs="Arial"/>
        </w:rPr>
        <w:t xml:space="preserve">. It is </w:t>
      </w:r>
      <w:r w:rsidR="00BC7FDA" w:rsidRPr="0050011A">
        <w:rPr>
          <w:rFonts w:cs="Arial"/>
        </w:rPr>
        <w:t>responsible for using data strictly within the scope of the agreement</w:t>
      </w:r>
      <w:r w:rsidR="00C41149" w:rsidRPr="0050011A">
        <w:rPr>
          <w:rFonts w:cs="Arial"/>
        </w:rPr>
        <w:t xml:space="preserve"> under </w:t>
      </w:r>
      <w:r w:rsidR="00E26757" w:rsidRPr="0050011A">
        <w:rPr>
          <w:rFonts w:cs="Arial"/>
        </w:rPr>
        <w:t>which access was granted, maintaining</w:t>
      </w:r>
      <w:r w:rsidR="00955915" w:rsidRPr="0050011A">
        <w:rPr>
          <w:rFonts w:cs="Arial"/>
        </w:rPr>
        <w:t xml:space="preserve"> the security of data in its </w:t>
      </w:r>
      <w:r w:rsidR="00022F79" w:rsidRPr="0050011A">
        <w:rPr>
          <w:rFonts w:cs="Arial"/>
        </w:rPr>
        <w:t>possession, and not repu</w:t>
      </w:r>
      <w:r w:rsidR="0071479F" w:rsidRPr="0050011A">
        <w:rPr>
          <w:rFonts w:cs="Arial"/>
        </w:rPr>
        <w:t xml:space="preserve">rposing or sharing data further without explicit </w:t>
      </w:r>
      <w:r w:rsidR="00447E1C">
        <w:rPr>
          <w:rFonts w:cs="Arial"/>
        </w:rPr>
        <w:t>authorisation</w:t>
      </w:r>
      <w:r w:rsidR="0071479F" w:rsidRPr="0050011A">
        <w:rPr>
          <w:rFonts w:cs="Arial"/>
        </w:rPr>
        <w:t xml:space="preserve">. It must </w:t>
      </w:r>
      <w:r w:rsidR="00703BB4" w:rsidRPr="0050011A">
        <w:rPr>
          <w:rFonts w:cs="Arial"/>
        </w:rPr>
        <w:t xml:space="preserve">be able to demonstrate, on request, that its use of data remains aligned with the stated purpose. </w:t>
      </w:r>
    </w:p>
    <w:p w14:paraId="3A34670D" w14:textId="334F3FCD" w:rsidR="00703BB4" w:rsidRPr="0050011A" w:rsidRDefault="00703BB4" w:rsidP="00175B85">
      <w:pPr>
        <w:rPr>
          <w:rFonts w:cs="Arial"/>
        </w:rPr>
      </w:pPr>
      <w:r w:rsidRPr="0050011A">
        <w:rPr>
          <w:rFonts w:cs="Arial"/>
        </w:rPr>
        <w:t>The ethical obligation of the Data User is one of restraint and honesty. Access to data shared</w:t>
      </w:r>
      <w:r w:rsidR="000B5C82" w:rsidRPr="0050011A">
        <w:rPr>
          <w:rFonts w:cs="Arial"/>
        </w:rPr>
        <w:t xml:space="preserve"> by others</w:t>
      </w:r>
      <w:r w:rsidR="00CA6E4C" w:rsidRPr="0050011A">
        <w:rPr>
          <w:rFonts w:cs="Arial"/>
        </w:rPr>
        <w:t xml:space="preserve">, often including data that relates to real people and real communities, carries a responsibility to use </w:t>
      </w:r>
      <w:r w:rsidR="002F4286" w:rsidRPr="0050011A">
        <w:rPr>
          <w:rFonts w:cs="Arial"/>
        </w:rPr>
        <w:t xml:space="preserve">it carefully and only for the reason it was </w:t>
      </w:r>
      <w:r w:rsidR="00A07B08" w:rsidRPr="0050011A">
        <w:rPr>
          <w:rFonts w:cs="Arial"/>
        </w:rPr>
        <w:t>needed</w:t>
      </w:r>
      <w:r w:rsidR="002F4286" w:rsidRPr="0050011A">
        <w:rPr>
          <w:rFonts w:cs="Arial"/>
        </w:rPr>
        <w:t>.</w:t>
      </w:r>
      <w:r w:rsidR="00A07B08" w:rsidRPr="0050011A">
        <w:rPr>
          <w:rFonts w:cs="Arial"/>
        </w:rPr>
        <w:t xml:space="preserve"> Exploiting access beyond its intended scope </w:t>
      </w:r>
      <w:r w:rsidR="00245C85" w:rsidRPr="0050011A">
        <w:rPr>
          <w:rFonts w:cs="Arial"/>
        </w:rPr>
        <w:t>i</w:t>
      </w:r>
      <w:r w:rsidR="00922765" w:rsidRPr="0050011A">
        <w:rPr>
          <w:rFonts w:cs="Arial"/>
        </w:rPr>
        <w:t xml:space="preserve">s not </w:t>
      </w:r>
      <w:r w:rsidR="000B25E4" w:rsidRPr="0050011A">
        <w:rPr>
          <w:rFonts w:cs="Arial"/>
        </w:rPr>
        <w:t xml:space="preserve">a technical violation alone, it is a breach of </w:t>
      </w:r>
      <w:r w:rsidR="00164FA6" w:rsidRPr="0050011A">
        <w:rPr>
          <w:rFonts w:cs="Arial"/>
        </w:rPr>
        <w:t>trust</w:t>
      </w:r>
      <w:r w:rsidR="000B25E4" w:rsidRPr="0050011A">
        <w:rPr>
          <w:rFonts w:cs="Arial"/>
        </w:rPr>
        <w:t xml:space="preserve"> on which </w:t>
      </w:r>
      <w:r w:rsidR="00FF74A4" w:rsidRPr="0050011A">
        <w:rPr>
          <w:rFonts w:cs="Arial"/>
        </w:rPr>
        <w:t xml:space="preserve">the entire dataspace </w:t>
      </w:r>
      <w:r w:rsidR="00C83743" w:rsidRPr="0050011A">
        <w:rPr>
          <w:rFonts w:cs="Arial"/>
        </w:rPr>
        <w:t>depends.</w:t>
      </w:r>
    </w:p>
    <w:p w14:paraId="63843C03" w14:textId="19A03C30" w:rsidR="00C83743" w:rsidRPr="0050011A" w:rsidRDefault="00C83743" w:rsidP="00175B85">
      <w:pPr>
        <w:rPr>
          <w:rFonts w:cs="Arial"/>
        </w:rPr>
      </w:pPr>
      <w:r w:rsidRPr="0050011A">
        <w:rPr>
          <w:rFonts w:cs="Arial"/>
          <w:i/>
        </w:rPr>
        <w:t xml:space="preserve">Limitation: </w:t>
      </w:r>
      <w:r w:rsidRPr="0050011A">
        <w:rPr>
          <w:rFonts w:cs="Arial"/>
        </w:rPr>
        <w:t xml:space="preserve">Data Users may not use data for commercial purposes unless this has been explicitly agreed upon in the data-sharing agreement. Any secondary use or analytical output </w:t>
      </w:r>
      <w:r w:rsidR="00CB275D" w:rsidRPr="0050011A">
        <w:rPr>
          <w:rFonts w:cs="Arial"/>
        </w:rPr>
        <w:t xml:space="preserve">copied from shared data that </w:t>
      </w:r>
      <w:r w:rsidR="00164FA6" w:rsidRPr="0050011A">
        <w:rPr>
          <w:rFonts w:cs="Arial"/>
        </w:rPr>
        <w:t xml:space="preserve">was not anticipated at the time of the agreement requires a new </w:t>
      </w:r>
      <w:r w:rsidR="00447E1C">
        <w:rPr>
          <w:rFonts w:cs="Arial"/>
        </w:rPr>
        <w:t>authorisation</w:t>
      </w:r>
      <w:r w:rsidR="00164FA6" w:rsidRPr="0050011A">
        <w:rPr>
          <w:rFonts w:cs="Arial"/>
        </w:rPr>
        <w:t xml:space="preserve"> process.</w:t>
      </w:r>
      <w:r w:rsidRPr="0050011A">
        <w:rPr>
          <w:rFonts w:cs="Arial"/>
        </w:rPr>
        <w:t xml:space="preserve"> </w:t>
      </w:r>
    </w:p>
    <w:p w14:paraId="3B82A4B0" w14:textId="7E24B706" w:rsidR="00164FA6" w:rsidRPr="0050011A" w:rsidRDefault="00164FA6" w:rsidP="00164FA6">
      <w:pPr>
        <w:pStyle w:val="Heading3"/>
        <w:rPr>
          <w:rFonts w:cs="Arial"/>
        </w:rPr>
      </w:pPr>
      <w:bookmarkStart w:id="60" w:name="_Toc1345167887"/>
      <w:r w:rsidRPr="54AD4DA9">
        <w:rPr>
          <w:rFonts w:cs="Arial"/>
        </w:rPr>
        <w:t>5.1.5 Intermediary</w:t>
      </w:r>
      <w:bookmarkEnd w:id="60"/>
    </w:p>
    <w:p w14:paraId="2FD00C0A" w14:textId="69E83768" w:rsidR="00164FA6" w:rsidRPr="0050011A" w:rsidRDefault="009E140F" w:rsidP="00164FA6">
      <w:pPr>
        <w:rPr>
          <w:rFonts w:cs="Arial"/>
        </w:rPr>
      </w:pPr>
      <w:r w:rsidRPr="0050011A">
        <w:rPr>
          <w:rFonts w:cs="Arial"/>
        </w:rPr>
        <w:t xml:space="preserve">The Intermediary facilitates data exchange between providers and users without itself becoming a party to the </w:t>
      </w:r>
      <w:r w:rsidR="006C638E" w:rsidRPr="0050011A">
        <w:rPr>
          <w:rFonts w:cs="Arial"/>
        </w:rPr>
        <w:t>substan</w:t>
      </w:r>
      <w:r w:rsidR="00F3559C" w:rsidRPr="0050011A">
        <w:rPr>
          <w:rFonts w:cs="Arial"/>
        </w:rPr>
        <w:t xml:space="preserve">tive use of the data. It may </w:t>
      </w:r>
      <w:r w:rsidR="00BF5C54" w:rsidRPr="0050011A">
        <w:rPr>
          <w:rFonts w:cs="Arial"/>
        </w:rPr>
        <w:t xml:space="preserve">provide technical infrastructure, brokering services, or translation between data standards. It is responsible for maintaining the security and integrity of data passing through </w:t>
      </w:r>
      <w:r w:rsidR="009E07C4" w:rsidRPr="0050011A">
        <w:rPr>
          <w:rFonts w:cs="Arial"/>
        </w:rPr>
        <w:t xml:space="preserve">its system and for ensuring that data reaches only the parties and purposes </w:t>
      </w:r>
      <w:r w:rsidR="00BB73D9" w:rsidRPr="0050011A">
        <w:rPr>
          <w:rFonts w:cs="Arial"/>
        </w:rPr>
        <w:t xml:space="preserve">for which it was </w:t>
      </w:r>
      <w:r w:rsidR="00447E1C">
        <w:rPr>
          <w:rFonts w:cs="Arial"/>
        </w:rPr>
        <w:t>authorised</w:t>
      </w:r>
      <w:r w:rsidR="00BB73D9" w:rsidRPr="0050011A">
        <w:rPr>
          <w:rFonts w:cs="Arial"/>
        </w:rPr>
        <w:t>.</w:t>
      </w:r>
    </w:p>
    <w:p w14:paraId="647E7093" w14:textId="25249E36" w:rsidR="00631AFA" w:rsidRPr="0050011A" w:rsidRDefault="00B03A9D" w:rsidP="00164FA6">
      <w:pPr>
        <w:rPr>
          <w:rFonts w:cs="Arial"/>
        </w:rPr>
      </w:pPr>
      <w:r w:rsidRPr="0050011A">
        <w:rPr>
          <w:rFonts w:cs="Arial"/>
        </w:rPr>
        <w:t xml:space="preserve">The ethical obligation </w:t>
      </w:r>
      <w:r w:rsidR="00947894" w:rsidRPr="0050011A">
        <w:rPr>
          <w:rFonts w:cs="Arial"/>
        </w:rPr>
        <w:t xml:space="preserve">of the </w:t>
      </w:r>
      <w:r w:rsidR="00FD3C1A" w:rsidRPr="0050011A">
        <w:rPr>
          <w:rFonts w:cs="Arial"/>
        </w:rPr>
        <w:t>Intermediary</w:t>
      </w:r>
      <w:r w:rsidR="00947894" w:rsidRPr="0050011A">
        <w:rPr>
          <w:rFonts w:cs="Arial"/>
        </w:rPr>
        <w:t xml:space="preserve"> </w:t>
      </w:r>
      <w:r w:rsidR="00FD3C1A" w:rsidRPr="0050011A">
        <w:rPr>
          <w:rFonts w:cs="Arial"/>
        </w:rPr>
        <w:t xml:space="preserve">is neutrality in the fullest sense. It must not use its position to extract </w:t>
      </w:r>
      <w:r w:rsidR="009E3229" w:rsidRPr="0050011A">
        <w:rPr>
          <w:rFonts w:cs="Arial"/>
        </w:rPr>
        <w:t>value from the data it handles</w:t>
      </w:r>
      <w:r w:rsidR="00636E00" w:rsidRPr="0050011A">
        <w:rPr>
          <w:rFonts w:cs="Arial"/>
        </w:rPr>
        <w:t xml:space="preserve">, influence the terms of exchange </w:t>
      </w:r>
      <w:r w:rsidR="001234AB" w:rsidRPr="0050011A">
        <w:rPr>
          <w:rFonts w:cs="Arial"/>
        </w:rPr>
        <w:t>in its own favor</w:t>
      </w:r>
      <w:r w:rsidR="00ED17C0" w:rsidRPr="0050011A">
        <w:rPr>
          <w:rFonts w:cs="Arial"/>
        </w:rPr>
        <w:t>. Or develop depen</w:t>
      </w:r>
      <w:r w:rsidR="002966B9" w:rsidRPr="0050011A">
        <w:rPr>
          <w:rFonts w:cs="Arial"/>
        </w:rPr>
        <w:t>dencies that make participants reliant on it in ways that compro</w:t>
      </w:r>
      <w:r w:rsidR="002F0E3D" w:rsidRPr="0050011A">
        <w:rPr>
          <w:rFonts w:cs="Arial"/>
        </w:rPr>
        <w:t>mise their auto</w:t>
      </w:r>
      <w:r w:rsidR="003D523E" w:rsidRPr="0050011A">
        <w:rPr>
          <w:rFonts w:cs="Arial"/>
        </w:rPr>
        <w:t>nomy. The D</w:t>
      </w:r>
      <w:r w:rsidR="000B7CE0" w:rsidRPr="0050011A">
        <w:rPr>
          <w:rFonts w:cs="Arial"/>
        </w:rPr>
        <w:t xml:space="preserve">GA’s legal neutrality requirements </w:t>
      </w:r>
      <w:r w:rsidR="00447E1C">
        <w:rPr>
          <w:rFonts w:cs="Arial"/>
        </w:rPr>
        <w:t>formalise</w:t>
      </w:r>
      <w:r w:rsidR="000B7CE0" w:rsidRPr="0050011A">
        <w:rPr>
          <w:rFonts w:cs="Arial"/>
        </w:rPr>
        <w:t xml:space="preserve"> this, but the underlying principle is that an intermediary exists to serve the change, not to ben</w:t>
      </w:r>
      <w:r w:rsidR="00185D5C" w:rsidRPr="0050011A">
        <w:rPr>
          <w:rFonts w:cs="Arial"/>
        </w:rPr>
        <w:t>efit from it.</w:t>
      </w:r>
    </w:p>
    <w:p w14:paraId="0D8A8099" w14:textId="1DDF43D7" w:rsidR="00185D5C" w:rsidRPr="0050011A" w:rsidRDefault="00185D5C" w:rsidP="00164FA6">
      <w:pPr>
        <w:rPr>
          <w:rFonts w:cs="Arial"/>
        </w:rPr>
      </w:pPr>
      <w:r w:rsidRPr="0050011A">
        <w:rPr>
          <w:rFonts w:cs="Arial"/>
          <w:i/>
        </w:rPr>
        <w:t>Limitat</w:t>
      </w:r>
      <w:r w:rsidR="00A83A06" w:rsidRPr="0050011A">
        <w:rPr>
          <w:rFonts w:cs="Arial"/>
          <w:i/>
        </w:rPr>
        <w:t xml:space="preserve">ion: </w:t>
      </w:r>
      <w:r w:rsidR="00A83A06" w:rsidRPr="0050011A">
        <w:rPr>
          <w:rFonts w:cs="Arial"/>
        </w:rPr>
        <w:t xml:space="preserve">Intermediaries are explicitly prohibited from using data passing through their system </w:t>
      </w:r>
      <w:r w:rsidR="007B2C90" w:rsidRPr="0050011A">
        <w:rPr>
          <w:rFonts w:cs="Arial"/>
        </w:rPr>
        <w:t xml:space="preserve">for their own analytical, commercial, </w:t>
      </w:r>
      <w:r w:rsidR="001B7F97" w:rsidRPr="0050011A">
        <w:rPr>
          <w:rFonts w:cs="Arial"/>
        </w:rPr>
        <w:t xml:space="preserve">or strategic purposes. They </w:t>
      </w:r>
      <w:r w:rsidR="00357AAB" w:rsidRPr="0050011A">
        <w:rPr>
          <w:rFonts w:cs="Arial"/>
        </w:rPr>
        <w:t>must be struc</w:t>
      </w:r>
      <w:r w:rsidR="007A001E" w:rsidRPr="0050011A">
        <w:rPr>
          <w:rFonts w:cs="Arial"/>
        </w:rPr>
        <w:t>turally indepen</w:t>
      </w:r>
      <w:r w:rsidR="00864A49" w:rsidRPr="0050011A">
        <w:rPr>
          <w:rFonts w:cs="Arial"/>
        </w:rPr>
        <w:t xml:space="preserve">dent </w:t>
      </w:r>
      <w:r w:rsidR="00447E1C">
        <w:rPr>
          <w:rFonts w:cs="Arial"/>
        </w:rPr>
        <w:t>from</w:t>
      </w:r>
      <w:r w:rsidR="00864A49" w:rsidRPr="0050011A">
        <w:rPr>
          <w:rFonts w:cs="Arial"/>
        </w:rPr>
        <w:t xml:space="preserve"> both providers and </w:t>
      </w:r>
      <w:r w:rsidR="00E21D19" w:rsidRPr="0050011A">
        <w:rPr>
          <w:rFonts w:cs="Arial"/>
        </w:rPr>
        <w:t>users and</w:t>
      </w:r>
      <w:r w:rsidR="006A3C01" w:rsidRPr="0050011A">
        <w:rPr>
          <w:rFonts w:cs="Arial"/>
        </w:rPr>
        <w:t xml:space="preserve"> must not hold equity </w:t>
      </w:r>
      <w:r w:rsidR="00447E1C">
        <w:rPr>
          <w:rFonts w:cs="Arial"/>
        </w:rPr>
        <w:t>stakes</w:t>
      </w:r>
      <w:r w:rsidR="006A3C01" w:rsidRPr="0050011A">
        <w:rPr>
          <w:rFonts w:cs="Arial"/>
        </w:rPr>
        <w:t xml:space="preserve"> or contr</w:t>
      </w:r>
      <w:r w:rsidR="00E9453D" w:rsidRPr="0050011A">
        <w:rPr>
          <w:rFonts w:cs="Arial"/>
        </w:rPr>
        <w:t>actual relationships that create a conflict of interest with their intermediary function.</w:t>
      </w:r>
    </w:p>
    <w:p w14:paraId="635EB979" w14:textId="7D32CE80" w:rsidR="00E9453D" w:rsidRPr="0050011A" w:rsidRDefault="00E9453D" w:rsidP="00E9453D">
      <w:pPr>
        <w:pStyle w:val="Heading3"/>
        <w:rPr>
          <w:rFonts w:cs="Arial"/>
        </w:rPr>
      </w:pPr>
      <w:bookmarkStart w:id="61" w:name="_Toc1268883896"/>
      <w:r w:rsidRPr="54AD4DA9">
        <w:rPr>
          <w:rFonts w:cs="Arial"/>
        </w:rPr>
        <w:t>5.1.6 Reference Person</w:t>
      </w:r>
      <w:bookmarkEnd w:id="61"/>
    </w:p>
    <w:p w14:paraId="620BBD81" w14:textId="53A5071A" w:rsidR="00F441F5" w:rsidRPr="0050011A" w:rsidRDefault="000F1305" w:rsidP="00F441F5">
      <w:pPr>
        <w:rPr>
          <w:rFonts w:cs="Arial"/>
        </w:rPr>
      </w:pPr>
      <w:r w:rsidRPr="0050011A">
        <w:rPr>
          <w:rFonts w:cs="Arial"/>
        </w:rPr>
        <w:t>Each parti</w:t>
      </w:r>
      <w:r w:rsidR="00097250" w:rsidRPr="0050011A">
        <w:rPr>
          <w:rFonts w:cs="Arial"/>
        </w:rPr>
        <w:t xml:space="preserve">cipating </w:t>
      </w:r>
      <w:r w:rsidR="00447E1C">
        <w:rPr>
          <w:rFonts w:cs="Arial"/>
        </w:rPr>
        <w:t>organisation</w:t>
      </w:r>
      <w:r w:rsidR="003B1A09" w:rsidRPr="0050011A">
        <w:rPr>
          <w:rFonts w:cs="Arial"/>
        </w:rPr>
        <w:t xml:space="preserve"> must designate a Reference </w:t>
      </w:r>
      <w:r w:rsidR="002D4520" w:rsidRPr="0050011A">
        <w:rPr>
          <w:rFonts w:cs="Arial"/>
        </w:rPr>
        <w:t>Person, an individual who serves</w:t>
      </w:r>
      <w:r w:rsidR="008D7473" w:rsidRPr="0050011A">
        <w:rPr>
          <w:rFonts w:cs="Arial"/>
        </w:rPr>
        <w:t xml:space="preserve"> as the named accountability point for that </w:t>
      </w:r>
      <w:r w:rsidR="00A73D99">
        <w:rPr>
          <w:rFonts w:cs="Arial"/>
        </w:rPr>
        <w:t>organisation’s</w:t>
      </w:r>
      <w:r w:rsidR="00297A1C" w:rsidRPr="0050011A">
        <w:rPr>
          <w:rFonts w:cs="Arial"/>
        </w:rPr>
        <w:t xml:space="preserve"> data activities within the dataspace</w:t>
      </w:r>
      <w:r w:rsidR="00B66277" w:rsidRPr="0050011A">
        <w:rPr>
          <w:rFonts w:cs="Arial"/>
        </w:rPr>
        <w:t xml:space="preserve">. </w:t>
      </w:r>
      <w:r w:rsidR="0014712E" w:rsidRPr="0050011A">
        <w:rPr>
          <w:rFonts w:cs="Arial"/>
        </w:rPr>
        <w:t xml:space="preserve">The Reference Person </w:t>
      </w:r>
      <w:r w:rsidR="0057132D" w:rsidRPr="0050011A">
        <w:rPr>
          <w:rFonts w:cs="Arial"/>
        </w:rPr>
        <w:t xml:space="preserve">is responsible for ensuring that </w:t>
      </w:r>
      <w:r w:rsidR="00EF7AD6" w:rsidRPr="0050011A">
        <w:rPr>
          <w:rFonts w:cs="Arial"/>
        </w:rPr>
        <w:t xml:space="preserve">their </w:t>
      </w:r>
      <w:r w:rsidR="00447E1C">
        <w:rPr>
          <w:rFonts w:cs="Arial"/>
        </w:rPr>
        <w:t>organisation</w:t>
      </w:r>
      <w:r w:rsidR="00EF7AD6" w:rsidRPr="0050011A">
        <w:rPr>
          <w:rFonts w:cs="Arial"/>
        </w:rPr>
        <w:t xml:space="preserve"> </w:t>
      </w:r>
      <w:r w:rsidR="007F19D1" w:rsidRPr="0050011A">
        <w:rPr>
          <w:rFonts w:cs="Arial"/>
        </w:rPr>
        <w:t>understands and complies with its obligations</w:t>
      </w:r>
      <w:r w:rsidR="00CB7DB2" w:rsidRPr="0050011A">
        <w:rPr>
          <w:rFonts w:cs="Arial"/>
        </w:rPr>
        <w:t>, that interna</w:t>
      </w:r>
      <w:r w:rsidR="00CD3815" w:rsidRPr="0050011A">
        <w:rPr>
          <w:rFonts w:cs="Arial"/>
        </w:rPr>
        <w:t xml:space="preserve">l staff handling </w:t>
      </w:r>
      <w:r w:rsidR="00077B6B" w:rsidRPr="0050011A">
        <w:rPr>
          <w:rFonts w:cs="Arial"/>
        </w:rPr>
        <w:t>data have received appropriate guidance</w:t>
      </w:r>
      <w:r w:rsidR="002F1403" w:rsidRPr="0050011A">
        <w:rPr>
          <w:rFonts w:cs="Arial"/>
        </w:rPr>
        <w:t xml:space="preserve">, and that any concerns </w:t>
      </w:r>
      <w:r w:rsidR="00B46119" w:rsidRPr="0050011A">
        <w:rPr>
          <w:rFonts w:cs="Arial"/>
        </w:rPr>
        <w:t>or incidents are reported through the correct channels.</w:t>
      </w:r>
    </w:p>
    <w:p w14:paraId="1ACA19F6" w14:textId="685AACC4" w:rsidR="00B46119" w:rsidRPr="0050011A" w:rsidRDefault="00B46119" w:rsidP="00F441F5">
      <w:pPr>
        <w:rPr>
          <w:rFonts w:cs="Arial"/>
        </w:rPr>
      </w:pPr>
      <w:r w:rsidRPr="0050011A">
        <w:rPr>
          <w:rFonts w:cs="Arial"/>
        </w:rPr>
        <w:t xml:space="preserve">The Reference Person is the designated ethical accountability point for their </w:t>
      </w:r>
      <w:r w:rsidR="006700B9">
        <w:rPr>
          <w:rFonts w:cs="Arial"/>
        </w:rPr>
        <w:t>organisation’s</w:t>
      </w:r>
      <w:r w:rsidRPr="0050011A">
        <w:rPr>
          <w:rFonts w:cs="Arial"/>
        </w:rPr>
        <w:t xml:space="preserve"> data activities. This means they are not only </w:t>
      </w:r>
      <w:r w:rsidR="00CA4A9C" w:rsidRPr="0050011A">
        <w:rPr>
          <w:rFonts w:cs="Arial"/>
        </w:rPr>
        <w:t>a compliance cont</w:t>
      </w:r>
      <w:r w:rsidR="008C2945" w:rsidRPr="0050011A">
        <w:rPr>
          <w:rFonts w:cs="Arial"/>
        </w:rPr>
        <w:t xml:space="preserve">act but carry </w:t>
      </w:r>
      <w:r w:rsidR="00641C04" w:rsidRPr="0050011A">
        <w:rPr>
          <w:rFonts w:cs="Arial"/>
        </w:rPr>
        <w:t>per</w:t>
      </w:r>
      <w:r w:rsidR="00BE4BEC" w:rsidRPr="0050011A">
        <w:rPr>
          <w:rFonts w:cs="Arial"/>
        </w:rPr>
        <w:t xml:space="preserve">sonal responsibility for ensuring that their </w:t>
      </w:r>
      <w:r w:rsidR="006700B9">
        <w:rPr>
          <w:rFonts w:cs="Arial"/>
        </w:rPr>
        <w:t>organisation’s</w:t>
      </w:r>
      <w:r w:rsidR="0003544F" w:rsidRPr="0050011A">
        <w:rPr>
          <w:rFonts w:cs="Arial"/>
        </w:rPr>
        <w:t xml:space="preserve"> participation in t</w:t>
      </w:r>
      <w:r w:rsidR="00791E28" w:rsidRPr="0050011A">
        <w:rPr>
          <w:rFonts w:cs="Arial"/>
        </w:rPr>
        <w:t xml:space="preserve">he dataspace remains aligned with the ethical framework. When difficult decisions arise, such as </w:t>
      </w:r>
      <w:r w:rsidR="00C003FC" w:rsidRPr="0050011A">
        <w:rPr>
          <w:rFonts w:cs="Arial"/>
        </w:rPr>
        <w:t>whether</w:t>
      </w:r>
      <w:r w:rsidR="002F7261" w:rsidRPr="0050011A">
        <w:rPr>
          <w:rFonts w:cs="Arial"/>
        </w:rPr>
        <w:t xml:space="preserve"> a particular </w:t>
      </w:r>
      <w:r w:rsidR="007A1DCE" w:rsidRPr="0050011A">
        <w:rPr>
          <w:rFonts w:cs="Arial"/>
        </w:rPr>
        <w:t xml:space="preserve">data use is appropriate, the </w:t>
      </w:r>
      <w:r w:rsidR="007A1DCE" w:rsidRPr="0050011A">
        <w:rPr>
          <w:rFonts w:cs="Arial"/>
        </w:rPr>
        <w:lastRenderedPageBreak/>
        <w:t xml:space="preserve">Reference Person is the individual within the </w:t>
      </w:r>
      <w:r w:rsidR="006700B9">
        <w:rPr>
          <w:rFonts w:cs="Arial"/>
        </w:rPr>
        <w:t>organisation</w:t>
      </w:r>
      <w:r w:rsidR="007A1DCE" w:rsidRPr="0050011A">
        <w:rPr>
          <w:rFonts w:cs="Arial"/>
        </w:rPr>
        <w:t xml:space="preserve"> </w:t>
      </w:r>
      <w:r w:rsidR="00032795" w:rsidRPr="0050011A">
        <w:rPr>
          <w:rFonts w:cs="Arial"/>
        </w:rPr>
        <w:t>who is expected to raise concerns, seek guidance, and, when necessary, escalate.</w:t>
      </w:r>
    </w:p>
    <w:p w14:paraId="7588203C" w14:textId="04358090" w:rsidR="00032795" w:rsidRPr="0050011A" w:rsidRDefault="00032795" w:rsidP="00F441F5">
      <w:pPr>
        <w:rPr>
          <w:rFonts w:cs="Arial"/>
        </w:rPr>
      </w:pPr>
      <w:r w:rsidRPr="1FB5933D">
        <w:rPr>
          <w:rFonts w:cs="Arial"/>
          <w:i/>
        </w:rPr>
        <w:t>Limit</w:t>
      </w:r>
      <w:r w:rsidR="00527802" w:rsidRPr="1FB5933D">
        <w:rPr>
          <w:rFonts w:cs="Arial"/>
          <w:i/>
        </w:rPr>
        <w:t>ation:</w:t>
      </w:r>
      <w:r w:rsidR="00527802" w:rsidRPr="0050011A">
        <w:rPr>
          <w:rFonts w:cs="Arial"/>
        </w:rPr>
        <w:t xml:space="preserve"> </w:t>
      </w:r>
      <w:r w:rsidR="00527802" w:rsidRPr="1FB5933D">
        <w:rPr>
          <w:rFonts w:cs="Arial"/>
          <w:i/>
        </w:rPr>
        <w:t xml:space="preserve"> </w:t>
      </w:r>
      <w:r w:rsidR="00625A77" w:rsidRPr="0050011A">
        <w:rPr>
          <w:rFonts w:cs="Arial"/>
        </w:rPr>
        <w:t xml:space="preserve">The Reference </w:t>
      </w:r>
      <w:r w:rsidR="00050337" w:rsidRPr="0050011A">
        <w:rPr>
          <w:rFonts w:cs="Arial"/>
        </w:rPr>
        <w:t>Perso</w:t>
      </w:r>
      <w:r w:rsidR="0097311B" w:rsidRPr="0050011A">
        <w:rPr>
          <w:rFonts w:cs="Arial"/>
        </w:rPr>
        <w:t xml:space="preserve">n </w:t>
      </w:r>
      <w:r w:rsidR="005D248C" w:rsidRPr="0050011A">
        <w:rPr>
          <w:rFonts w:cs="Arial"/>
        </w:rPr>
        <w:t xml:space="preserve">must have sufficient </w:t>
      </w:r>
      <w:r w:rsidR="00FC6AD0" w:rsidRPr="0050011A">
        <w:rPr>
          <w:rFonts w:cs="Arial"/>
        </w:rPr>
        <w:t>authority</w:t>
      </w:r>
      <w:r w:rsidR="005D248C" w:rsidRPr="0050011A">
        <w:rPr>
          <w:rFonts w:cs="Arial"/>
        </w:rPr>
        <w:t xml:space="preserve"> within their </w:t>
      </w:r>
      <w:r w:rsidR="006700B9">
        <w:rPr>
          <w:rFonts w:cs="Arial"/>
        </w:rPr>
        <w:t>organisation</w:t>
      </w:r>
      <w:r w:rsidR="00FC6AD0" w:rsidRPr="0050011A">
        <w:rPr>
          <w:rFonts w:cs="Arial"/>
        </w:rPr>
        <w:t xml:space="preserve"> to act on compliance concerns. Ass</w:t>
      </w:r>
      <w:r w:rsidR="00FE7000" w:rsidRPr="0050011A">
        <w:rPr>
          <w:rFonts w:cs="Arial"/>
        </w:rPr>
        <w:t xml:space="preserve">igning this role to someone without genuine </w:t>
      </w:r>
      <w:r w:rsidR="006700B9">
        <w:rPr>
          <w:rFonts w:cs="Arial"/>
        </w:rPr>
        <w:t>organisational</w:t>
      </w:r>
      <w:r w:rsidR="00FE7000" w:rsidRPr="0050011A">
        <w:rPr>
          <w:rFonts w:cs="Arial"/>
        </w:rPr>
        <w:t xml:space="preserve"> influence undermines its purpose. The Coordi</w:t>
      </w:r>
      <w:r w:rsidR="008C75FA" w:rsidRPr="0050011A">
        <w:rPr>
          <w:rFonts w:cs="Arial"/>
        </w:rPr>
        <w:t xml:space="preserve">nating Entity must verify, as part of onboarding, </w:t>
      </w:r>
      <w:r w:rsidR="008A1CEA" w:rsidRPr="0050011A">
        <w:rPr>
          <w:rFonts w:cs="Arial"/>
        </w:rPr>
        <w:t>that the designated Reference Person holds an appropriate position.</w:t>
      </w:r>
    </w:p>
    <w:p w14:paraId="69514977" w14:textId="7413145F" w:rsidR="008A1CEA" w:rsidRPr="0050011A" w:rsidRDefault="00445CED" w:rsidP="008A1CEA">
      <w:pPr>
        <w:pStyle w:val="Heading3"/>
        <w:rPr>
          <w:rFonts w:cs="Arial"/>
        </w:rPr>
      </w:pPr>
      <w:bookmarkStart w:id="62" w:name="_Toc366645873"/>
      <w:r w:rsidRPr="54AD4DA9">
        <w:rPr>
          <w:rFonts w:cs="Arial"/>
        </w:rPr>
        <w:t xml:space="preserve">5.1.7 </w:t>
      </w:r>
      <w:r w:rsidR="009B1F1C" w:rsidRPr="54AD4DA9">
        <w:rPr>
          <w:rFonts w:cs="Arial"/>
        </w:rPr>
        <w:t>The Municipal</w:t>
      </w:r>
      <w:r w:rsidR="00F670F3" w:rsidRPr="54AD4DA9">
        <w:rPr>
          <w:rFonts w:cs="Arial"/>
        </w:rPr>
        <w:t>ity’s Dual Role</w:t>
      </w:r>
      <w:bookmarkEnd w:id="62"/>
    </w:p>
    <w:p w14:paraId="216C3868" w14:textId="69FF854C" w:rsidR="00F670F3" w:rsidRPr="0050011A" w:rsidRDefault="00F670F3" w:rsidP="00F670F3">
      <w:pPr>
        <w:rPr>
          <w:rFonts w:cs="Arial"/>
        </w:rPr>
      </w:pPr>
      <w:r w:rsidRPr="0050011A">
        <w:rPr>
          <w:rFonts w:cs="Arial"/>
        </w:rPr>
        <w:t xml:space="preserve">The municipality of Eindhoven occupies a structurally unique position </w:t>
      </w:r>
      <w:r w:rsidR="00AE70FA" w:rsidRPr="0050011A">
        <w:rPr>
          <w:rFonts w:cs="Arial"/>
        </w:rPr>
        <w:t xml:space="preserve">within dataspace. It acts simultaneously as a Data </w:t>
      </w:r>
      <w:r w:rsidR="006700B9">
        <w:rPr>
          <w:rFonts w:cs="Arial"/>
        </w:rPr>
        <w:t>Provider</w:t>
      </w:r>
      <w:r w:rsidR="00AE70FA" w:rsidRPr="0050011A">
        <w:rPr>
          <w:rFonts w:cs="Arial"/>
        </w:rPr>
        <w:t xml:space="preserve">, contributing data collected through public infrastructure, and as </w:t>
      </w:r>
      <w:r w:rsidR="006700B9">
        <w:rPr>
          <w:rFonts w:cs="Arial"/>
        </w:rPr>
        <w:t xml:space="preserve">a </w:t>
      </w:r>
      <w:r w:rsidR="00AE70FA" w:rsidRPr="0050011A">
        <w:rPr>
          <w:rFonts w:cs="Arial"/>
        </w:rPr>
        <w:t xml:space="preserve">primary Data User, drawing on dataspace outputs to inform policy and operational decisions. This dual role creates an inherent </w:t>
      </w:r>
      <w:r w:rsidR="00C42E2E" w:rsidRPr="0050011A">
        <w:rPr>
          <w:rFonts w:cs="Arial"/>
        </w:rPr>
        <w:t>tension that the government framework must explicit</w:t>
      </w:r>
      <w:r w:rsidR="0073707F" w:rsidRPr="0050011A">
        <w:rPr>
          <w:rFonts w:cs="Arial"/>
        </w:rPr>
        <w:t>ly address.</w:t>
      </w:r>
    </w:p>
    <w:p w14:paraId="25A8E4A8" w14:textId="45DCB632" w:rsidR="0073707F" w:rsidRPr="0050011A" w:rsidRDefault="0073707F" w:rsidP="00F670F3">
      <w:pPr>
        <w:rPr>
          <w:rFonts w:cs="Arial"/>
        </w:rPr>
      </w:pPr>
      <w:r w:rsidRPr="0050011A">
        <w:rPr>
          <w:rFonts w:cs="Arial"/>
        </w:rPr>
        <w:t xml:space="preserve">Without safeguards, the municipality’s dual role risks concentrating too much influence </w:t>
      </w:r>
      <w:r w:rsidR="00813DC7" w:rsidRPr="0050011A">
        <w:rPr>
          <w:rFonts w:cs="Arial"/>
        </w:rPr>
        <w:t>on</w:t>
      </w:r>
      <w:r w:rsidRPr="0050011A">
        <w:rPr>
          <w:rFonts w:cs="Arial"/>
        </w:rPr>
        <w:t xml:space="preserve"> a single actor</w:t>
      </w:r>
      <w:r w:rsidR="00010E4C" w:rsidRPr="0050011A">
        <w:rPr>
          <w:rFonts w:cs="Arial"/>
        </w:rPr>
        <w:t>, creating a situation where the same party that sets the policy</w:t>
      </w:r>
      <w:r w:rsidR="00F6045E" w:rsidRPr="0050011A">
        <w:rPr>
          <w:rFonts w:cs="Arial"/>
        </w:rPr>
        <w:t xml:space="preserve"> for the dataspace also benefits most from it. This undermines</w:t>
      </w:r>
      <w:r w:rsidR="00813DC7" w:rsidRPr="0050011A">
        <w:rPr>
          <w:rFonts w:cs="Arial"/>
        </w:rPr>
        <w:t xml:space="preserve"> the independence that legitimate governance requires.</w:t>
      </w:r>
    </w:p>
    <w:p w14:paraId="0CE4D924" w14:textId="5A5B2B7E" w:rsidR="00813DC7" w:rsidRPr="0050011A" w:rsidRDefault="00813DC7" w:rsidP="00F670F3">
      <w:pPr>
        <w:rPr>
          <w:rFonts w:cs="Arial"/>
        </w:rPr>
      </w:pPr>
      <w:r w:rsidRPr="0050011A">
        <w:rPr>
          <w:rFonts w:cs="Arial"/>
        </w:rPr>
        <w:t>The following safeguards are therefore required:</w:t>
      </w:r>
    </w:p>
    <w:p w14:paraId="77C84DBC" w14:textId="687310A3" w:rsidR="00813DC7" w:rsidRPr="0050011A" w:rsidRDefault="00813DC7" w:rsidP="00813DC7">
      <w:pPr>
        <w:pStyle w:val="ListParagraph"/>
        <w:numPr>
          <w:ilvl w:val="0"/>
          <w:numId w:val="12"/>
        </w:numPr>
        <w:rPr>
          <w:rFonts w:cs="Arial"/>
        </w:rPr>
      </w:pPr>
      <w:r w:rsidRPr="0050011A">
        <w:rPr>
          <w:rFonts w:cs="Arial"/>
        </w:rPr>
        <w:t xml:space="preserve">The municipality must formally separate its Data Provider and Data User </w:t>
      </w:r>
      <w:r w:rsidR="007F1D6B" w:rsidRPr="0050011A">
        <w:rPr>
          <w:rFonts w:cs="Arial"/>
        </w:rPr>
        <w:t>functions, designating different</w:t>
      </w:r>
      <w:r w:rsidR="003F54B0" w:rsidRPr="0050011A">
        <w:rPr>
          <w:rFonts w:cs="Arial"/>
        </w:rPr>
        <w:t xml:space="preserve"> internal Reference Persons for each role and ensuring that decisions </w:t>
      </w:r>
      <w:r w:rsidR="00312C35" w:rsidRPr="0050011A">
        <w:rPr>
          <w:rFonts w:cs="Arial"/>
        </w:rPr>
        <w:t>made in one capacity do not influence decisions made in the other.</w:t>
      </w:r>
    </w:p>
    <w:p w14:paraId="67E06803" w14:textId="14BD3CF7" w:rsidR="00312C35" w:rsidRPr="0050011A" w:rsidRDefault="00312C35" w:rsidP="00813DC7">
      <w:pPr>
        <w:pStyle w:val="ListParagraph"/>
        <w:numPr>
          <w:ilvl w:val="0"/>
          <w:numId w:val="12"/>
        </w:numPr>
        <w:rPr>
          <w:rFonts w:cs="Arial"/>
        </w:rPr>
      </w:pPr>
      <w:r w:rsidRPr="0050011A">
        <w:rPr>
          <w:rFonts w:cs="Arial"/>
        </w:rPr>
        <w:t xml:space="preserve">The municipality must hold a casting vote or </w:t>
      </w:r>
      <w:r w:rsidR="004B265A" w:rsidRPr="0050011A">
        <w:rPr>
          <w:rFonts w:cs="Arial"/>
        </w:rPr>
        <w:t>unreasonable authority within</w:t>
      </w:r>
      <w:r w:rsidR="001E324C" w:rsidRPr="0050011A">
        <w:rPr>
          <w:rFonts w:cs="Arial"/>
        </w:rPr>
        <w:t xml:space="preserve"> the Governance Authority. Its representation</w:t>
      </w:r>
      <w:r w:rsidR="003C607D" w:rsidRPr="0050011A">
        <w:rPr>
          <w:rFonts w:cs="Arial"/>
        </w:rPr>
        <w:t xml:space="preserve"> must be balanced against that </w:t>
      </w:r>
      <w:r w:rsidR="00B81F7E" w:rsidRPr="0050011A">
        <w:rPr>
          <w:rFonts w:cs="Arial"/>
        </w:rPr>
        <w:t>of other participants.</w:t>
      </w:r>
    </w:p>
    <w:p w14:paraId="31F2505B" w14:textId="3AAA276F" w:rsidR="00372449" w:rsidRPr="0050011A" w:rsidRDefault="00372449" w:rsidP="00813DC7">
      <w:pPr>
        <w:pStyle w:val="ListParagraph"/>
        <w:numPr>
          <w:ilvl w:val="0"/>
          <w:numId w:val="12"/>
        </w:numPr>
        <w:rPr>
          <w:rFonts w:cs="Arial"/>
        </w:rPr>
      </w:pPr>
      <w:r w:rsidRPr="0050011A">
        <w:rPr>
          <w:rFonts w:cs="Arial"/>
        </w:rPr>
        <w:t xml:space="preserve">Any data-sharing </w:t>
      </w:r>
      <w:r w:rsidR="00B25936" w:rsidRPr="0050011A">
        <w:rPr>
          <w:rFonts w:cs="Arial"/>
        </w:rPr>
        <w:t xml:space="preserve">agreement in which the municipality </w:t>
      </w:r>
      <w:r w:rsidR="00B55AFE" w:rsidRPr="0050011A">
        <w:rPr>
          <w:rFonts w:cs="Arial"/>
        </w:rPr>
        <w:t xml:space="preserve">is both </w:t>
      </w:r>
      <w:r w:rsidR="0092271B" w:rsidRPr="0050011A">
        <w:rPr>
          <w:rFonts w:cs="Arial"/>
        </w:rPr>
        <w:t xml:space="preserve">the provider and the </w:t>
      </w:r>
      <w:r w:rsidR="00734C00" w:rsidRPr="0050011A">
        <w:rPr>
          <w:rFonts w:cs="Arial"/>
        </w:rPr>
        <w:t>primary user must be subject</w:t>
      </w:r>
      <w:r w:rsidR="00EC2BB4" w:rsidRPr="0050011A">
        <w:rPr>
          <w:rFonts w:cs="Arial"/>
        </w:rPr>
        <w:t xml:space="preserve"> </w:t>
      </w:r>
      <w:r w:rsidR="00FB39BF" w:rsidRPr="0050011A">
        <w:rPr>
          <w:rFonts w:cs="Arial"/>
        </w:rPr>
        <w:t>to independent</w:t>
      </w:r>
      <w:r w:rsidR="008551A6" w:rsidRPr="0050011A">
        <w:rPr>
          <w:rFonts w:cs="Arial"/>
        </w:rPr>
        <w:t xml:space="preserve"> review before </w:t>
      </w:r>
      <w:r w:rsidR="00815C56" w:rsidRPr="0050011A">
        <w:rPr>
          <w:rFonts w:cs="Arial"/>
        </w:rPr>
        <w:t xml:space="preserve">approval, to ensure that the terms </w:t>
      </w:r>
      <w:r w:rsidR="0077679A" w:rsidRPr="0050011A">
        <w:rPr>
          <w:rFonts w:cs="Arial"/>
        </w:rPr>
        <w:t xml:space="preserve">reflect genuine </w:t>
      </w:r>
      <w:r w:rsidR="00CF746C" w:rsidRPr="0050011A">
        <w:rPr>
          <w:rFonts w:cs="Arial"/>
        </w:rPr>
        <w:t xml:space="preserve">public interest rather </w:t>
      </w:r>
      <w:r w:rsidR="006E1547" w:rsidRPr="0050011A">
        <w:rPr>
          <w:rFonts w:cs="Arial"/>
        </w:rPr>
        <w:t>than inst</w:t>
      </w:r>
      <w:r w:rsidR="00311F24" w:rsidRPr="0050011A">
        <w:rPr>
          <w:rFonts w:cs="Arial"/>
        </w:rPr>
        <w:t>itutional conven</w:t>
      </w:r>
      <w:r w:rsidR="00272EA6" w:rsidRPr="0050011A">
        <w:rPr>
          <w:rFonts w:cs="Arial"/>
        </w:rPr>
        <w:t>ience.</w:t>
      </w:r>
    </w:p>
    <w:p w14:paraId="19926A97" w14:textId="0B597949" w:rsidR="00272EA6" w:rsidRPr="0050011A" w:rsidRDefault="00272EA6" w:rsidP="00813DC7">
      <w:pPr>
        <w:pStyle w:val="ListParagraph"/>
        <w:numPr>
          <w:ilvl w:val="0"/>
          <w:numId w:val="12"/>
        </w:numPr>
        <w:rPr>
          <w:rFonts w:cs="Arial"/>
        </w:rPr>
      </w:pPr>
      <w:r w:rsidRPr="0050011A">
        <w:rPr>
          <w:rFonts w:cs="Arial"/>
        </w:rPr>
        <w:t>The mu</w:t>
      </w:r>
      <w:r w:rsidR="00A365CC" w:rsidRPr="0050011A">
        <w:rPr>
          <w:rFonts w:cs="Arial"/>
        </w:rPr>
        <w:t>nicipality’s use of dataspace outputs for policy decisions</w:t>
      </w:r>
      <w:r w:rsidR="00C325DA" w:rsidRPr="0050011A">
        <w:rPr>
          <w:rFonts w:cs="Arial"/>
        </w:rPr>
        <w:t xml:space="preserve"> must </w:t>
      </w:r>
      <w:r w:rsidR="008C1B11">
        <w:rPr>
          <w:rFonts w:cs="Arial"/>
        </w:rPr>
        <w:t xml:space="preserve">be </w:t>
      </w:r>
      <w:r w:rsidR="00C325DA" w:rsidRPr="0050011A">
        <w:rPr>
          <w:rFonts w:cs="Arial"/>
        </w:rPr>
        <w:t>documented and subjec</w:t>
      </w:r>
      <w:r w:rsidR="002159A1" w:rsidRPr="0050011A">
        <w:rPr>
          <w:rFonts w:cs="Arial"/>
        </w:rPr>
        <w:t>t to the same audit mechanisms that apply to all other Data Users.</w:t>
      </w:r>
    </w:p>
    <w:p w14:paraId="26603FB9" w14:textId="660AF919" w:rsidR="002159A1" w:rsidRPr="0050011A" w:rsidRDefault="008721A5" w:rsidP="002159A1">
      <w:pPr>
        <w:rPr>
          <w:rFonts w:cs="Arial"/>
        </w:rPr>
      </w:pPr>
      <w:r w:rsidRPr="0050011A">
        <w:rPr>
          <w:rFonts w:cs="Arial"/>
        </w:rPr>
        <w:t xml:space="preserve">These </w:t>
      </w:r>
      <w:r w:rsidR="0072571A" w:rsidRPr="0050011A">
        <w:rPr>
          <w:rFonts w:cs="Arial"/>
        </w:rPr>
        <w:t>safeguards do not diminish the municipality's legitimate role as the primary public stakeholder in the dataspace. They ensure that this role is exercised transparently and in a way that preserves the integrity of the governance structure of all participants.</w:t>
      </w:r>
    </w:p>
    <w:p w14:paraId="60EEAA0D" w14:textId="77777777" w:rsidR="0079393A" w:rsidRPr="0050011A" w:rsidRDefault="0079393A" w:rsidP="0079393A">
      <w:pPr>
        <w:pStyle w:val="Heading2"/>
        <w:rPr>
          <w:rFonts w:cs="Arial"/>
        </w:rPr>
      </w:pPr>
      <w:bookmarkStart w:id="63" w:name="_Toc230347189"/>
      <w:bookmarkStart w:id="64" w:name="_Toc124852848"/>
      <w:r w:rsidRPr="54AD4DA9">
        <w:rPr>
          <w:rFonts w:cs="Arial"/>
        </w:rPr>
        <w:t>5.2 Data Sharing Agreements</w:t>
      </w:r>
      <w:bookmarkEnd w:id="63"/>
      <w:bookmarkEnd w:id="64"/>
    </w:p>
    <w:p w14:paraId="05CBCFA3" w14:textId="7B192A8F" w:rsidR="00B02BCC" w:rsidRPr="0050011A" w:rsidRDefault="00B02BCC" w:rsidP="0079393A">
      <w:pPr>
        <w:rPr>
          <w:rFonts w:cs="Arial"/>
        </w:rPr>
      </w:pPr>
      <w:r w:rsidRPr="0050011A">
        <w:rPr>
          <w:rFonts w:cs="Arial"/>
        </w:rPr>
        <w:t>For governance to be effective, the responsibilities they set must be enforceable</w:t>
      </w:r>
      <w:r w:rsidR="00E90319" w:rsidRPr="0050011A">
        <w:rPr>
          <w:rFonts w:cs="Arial"/>
        </w:rPr>
        <w:t xml:space="preserve">. Ethical principles and defined roles set the right conditions </w:t>
      </w:r>
      <w:r w:rsidR="00CC0287" w:rsidRPr="0050011A">
        <w:rPr>
          <w:rFonts w:cs="Arial"/>
        </w:rPr>
        <w:t>for responsible data sharing, but without legally binding agreements, those principles are still voluntary.</w:t>
      </w:r>
      <w:r w:rsidR="0071589B" w:rsidRPr="0050011A">
        <w:rPr>
          <w:rFonts w:cs="Arial"/>
        </w:rPr>
        <w:t xml:space="preserve"> </w:t>
      </w:r>
      <w:r w:rsidR="00BF5AAE" w:rsidRPr="0050011A">
        <w:rPr>
          <w:rFonts w:cs="Arial"/>
        </w:rPr>
        <w:t xml:space="preserve">Data sharing agreements make the requirements of this framework legally enforceable for all participating organisations. </w:t>
      </w:r>
      <w:r w:rsidR="006D04B2" w:rsidRPr="0050011A">
        <w:rPr>
          <w:rFonts w:cs="Arial"/>
        </w:rPr>
        <w:t>This section outlines the three-layer contractual structure that governs data sharing within the Inzicht Verlicht dataspace, based on the contractual framework building block of the DS4SSCC Blueprint.</w:t>
      </w:r>
    </w:p>
    <w:p w14:paraId="41188E96" w14:textId="5A9EBE2F" w:rsidR="00867F98" w:rsidRPr="0050011A" w:rsidRDefault="003E4C9F" w:rsidP="00867F98">
      <w:pPr>
        <w:pStyle w:val="Heading3"/>
        <w:rPr>
          <w:rFonts w:cs="Arial"/>
          <w:b w:val="0"/>
        </w:rPr>
      </w:pPr>
      <w:bookmarkStart w:id="65" w:name="_Toc1936821425"/>
      <w:r w:rsidRPr="54AD4DA9">
        <w:rPr>
          <w:rFonts w:cs="Arial"/>
        </w:rPr>
        <w:t xml:space="preserve">5.2.1 Founding </w:t>
      </w:r>
      <w:r w:rsidR="00AA175D" w:rsidRPr="54AD4DA9">
        <w:rPr>
          <w:rFonts w:cs="Arial"/>
        </w:rPr>
        <w:t>Agreement</w:t>
      </w:r>
      <w:bookmarkEnd w:id="65"/>
    </w:p>
    <w:p w14:paraId="042D1684" w14:textId="7CFC9C69" w:rsidR="00AA175D" w:rsidRPr="0050011A" w:rsidRDefault="00950A36" w:rsidP="00AA175D">
      <w:pPr>
        <w:rPr>
          <w:rFonts w:cs="Arial"/>
        </w:rPr>
      </w:pPr>
      <w:r w:rsidRPr="0050011A">
        <w:rPr>
          <w:rFonts w:cs="Arial"/>
        </w:rPr>
        <w:t xml:space="preserve">The </w:t>
      </w:r>
      <w:r w:rsidR="008667F0" w:rsidRPr="0050011A">
        <w:rPr>
          <w:rFonts w:cs="Arial"/>
        </w:rPr>
        <w:t>founding</w:t>
      </w:r>
      <w:r w:rsidRPr="0050011A">
        <w:rPr>
          <w:rFonts w:cs="Arial"/>
        </w:rPr>
        <w:t xml:space="preserve"> agreement </w:t>
      </w:r>
      <w:r w:rsidR="00551BD6" w:rsidRPr="0050011A">
        <w:rPr>
          <w:rFonts w:cs="Arial"/>
        </w:rPr>
        <w:t>sets</w:t>
      </w:r>
      <w:r w:rsidRPr="0050011A">
        <w:rPr>
          <w:rFonts w:cs="Arial"/>
        </w:rPr>
        <w:t xml:space="preserve"> the </w:t>
      </w:r>
      <w:r w:rsidR="00551BD6" w:rsidRPr="0050011A">
        <w:rPr>
          <w:rFonts w:cs="Arial"/>
        </w:rPr>
        <w:t xml:space="preserve">legal and </w:t>
      </w:r>
      <w:r w:rsidR="002955AD" w:rsidRPr="0050011A">
        <w:rPr>
          <w:rFonts w:cs="Arial"/>
        </w:rPr>
        <w:t>organisational</w:t>
      </w:r>
      <w:r w:rsidR="00551BD6" w:rsidRPr="0050011A">
        <w:rPr>
          <w:rFonts w:cs="Arial"/>
        </w:rPr>
        <w:t xml:space="preserve"> basis of </w:t>
      </w:r>
      <w:r w:rsidR="002955AD" w:rsidRPr="0050011A">
        <w:rPr>
          <w:rFonts w:cs="Arial"/>
        </w:rPr>
        <w:t>the Inzich Verlicht dataspace</w:t>
      </w:r>
      <w:r w:rsidR="00444651" w:rsidRPr="0050011A">
        <w:rPr>
          <w:rFonts w:cs="Arial"/>
        </w:rPr>
        <w:t xml:space="preserve"> and formalises the </w:t>
      </w:r>
      <w:r w:rsidR="009317DE" w:rsidRPr="0050011A">
        <w:rPr>
          <w:rFonts w:cs="Arial"/>
        </w:rPr>
        <w:t>relationship between the initial partners</w:t>
      </w:r>
      <w:r w:rsidR="009155CF" w:rsidRPr="0050011A">
        <w:rPr>
          <w:rFonts w:cs="Arial"/>
        </w:rPr>
        <w:t>,</w:t>
      </w:r>
      <w:r w:rsidR="00F81937" w:rsidRPr="0050011A">
        <w:rPr>
          <w:rFonts w:cs="Arial"/>
        </w:rPr>
        <w:t xml:space="preserve"> including</w:t>
      </w:r>
      <w:r w:rsidR="009317DE" w:rsidRPr="0050011A">
        <w:rPr>
          <w:rFonts w:cs="Arial"/>
        </w:rPr>
        <w:t xml:space="preserve"> the Municipality of Eindhoven</w:t>
      </w:r>
      <w:r w:rsidR="00F81937" w:rsidRPr="0050011A">
        <w:rPr>
          <w:rFonts w:cs="Arial"/>
        </w:rPr>
        <w:t xml:space="preserve">, Fontys ICT InnovationLab, and any other </w:t>
      </w:r>
      <w:r w:rsidR="009155CF" w:rsidRPr="0050011A">
        <w:rPr>
          <w:rFonts w:cs="Arial"/>
        </w:rPr>
        <w:t>founding stakeholders.</w:t>
      </w:r>
      <w:r w:rsidR="00831898" w:rsidRPr="0050011A">
        <w:rPr>
          <w:rFonts w:cs="Arial"/>
        </w:rPr>
        <w:t xml:space="preserve"> </w:t>
      </w:r>
      <w:r w:rsidR="009023A0" w:rsidRPr="0050011A">
        <w:rPr>
          <w:rFonts w:cs="Arial"/>
        </w:rPr>
        <w:t xml:space="preserve">This is the document </w:t>
      </w:r>
      <w:r w:rsidR="00532C94" w:rsidRPr="0050011A">
        <w:rPr>
          <w:rFonts w:cs="Arial"/>
        </w:rPr>
        <w:t xml:space="preserve">in which the shared ethical vision </w:t>
      </w:r>
      <w:r w:rsidR="00831898" w:rsidRPr="0050011A">
        <w:rPr>
          <w:rFonts w:cs="Arial"/>
        </w:rPr>
        <w:t>and commitments of the dataspace are formally agreed upon and made binding for all founding participants.</w:t>
      </w:r>
      <w:r w:rsidR="00DA01C9" w:rsidRPr="0050011A">
        <w:rPr>
          <w:rFonts w:cs="Arial"/>
        </w:rPr>
        <w:t xml:space="preserve"> This sets the baseline rules, principles, and obligation</w:t>
      </w:r>
      <w:r w:rsidR="00905FE8" w:rsidRPr="0050011A">
        <w:rPr>
          <w:rFonts w:cs="Arial"/>
        </w:rPr>
        <w:t>s that everything else builds on.</w:t>
      </w:r>
      <w:r w:rsidR="00B44B51" w:rsidRPr="0050011A">
        <w:rPr>
          <w:rFonts w:cs="Arial"/>
        </w:rPr>
        <w:t xml:space="preserve"> As the </w:t>
      </w:r>
      <w:r w:rsidR="005E5BC3" w:rsidRPr="0050011A">
        <w:rPr>
          <w:rFonts w:cs="Arial"/>
        </w:rPr>
        <w:t>highest-level agreement within the dataspace,</w:t>
      </w:r>
      <w:r w:rsidR="00E31EBE" w:rsidRPr="0050011A">
        <w:rPr>
          <w:rFonts w:cs="Arial"/>
        </w:rPr>
        <w:t xml:space="preserve"> no subsequent agreement or governance decision</w:t>
      </w:r>
      <w:r w:rsidR="00202A6E" w:rsidRPr="0050011A">
        <w:rPr>
          <w:rFonts w:cs="Arial"/>
        </w:rPr>
        <w:t xml:space="preserve"> can contradict what is established </w:t>
      </w:r>
      <w:r w:rsidR="00F363CF" w:rsidRPr="0050011A">
        <w:rPr>
          <w:rFonts w:cs="Arial"/>
        </w:rPr>
        <w:t xml:space="preserve">here.  </w:t>
      </w:r>
      <w:r w:rsidR="00941B80" w:rsidRPr="0050011A">
        <w:rPr>
          <w:rFonts w:cs="Arial"/>
        </w:rPr>
        <w:t>The founding agreement must specify</w:t>
      </w:r>
      <w:r w:rsidR="00153ACA" w:rsidRPr="0050011A">
        <w:rPr>
          <w:rFonts w:cs="Arial"/>
        </w:rPr>
        <w:t xml:space="preserve"> the purpose of the dataspace, the ethical principles it is committed to, the </w:t>
      </w:r>
      <w:r w:rsidR="00E566B9" w:rsidRPr="0050011A">
        <w:rPr>
          <w:rFonts w:cs="Arial"/>
        </w:rPr>
        <w:t xml:space="preserve">composition and responsibilities of the Governance Authority, the procedures for reviewing and </w:t>
      </w:r>
      <w:r w:rsidR="00270522" w:rsidRPr="0050011A">
        <w:rPr>
          <w:rFonts w:cs="Arial"/>
        </w:rPr>
        <w:t xml:space="preserve">updating the </w:t>
      </w:r>
      <w:r w:rsidR="00270522" w:rsidRPr="0050011A">
        <w:rPr>
          <w:rFonts w:cs="Arial"/>
        </w:rPr>
        <w:lastRenderedPageBreak/>
        <w:t xml:space="preserve">governance framework, and the conditions under which the dataspace may be dissolved. </w:t>
      </w:r>
      <w:r w:rsidR="00A16C28" w:rsidRPr="0050011A">
        <w:rPr>
          <w:rFonts w:cs="Arial"/>
        </w:rPr>
        <w:t xml:space="preserve">This agreement </w:t>
      </w:r>
      <w:r w:rsidR="00374D62" w:rsidRPr="0050011A">
        <w:rPr>
          <w:rFonts w:cs="Arial"/>
        </w:rPr>
        <w:t xml:space="preserve">is signed once when the dataspace is established and reviewed during the </w:t>
      </w:r>
      <w:r w:rsidR="00C60E2B" w:rsidRPr="0050011A">
        <w:rPr>
          <w:rFonts w:cs="Arial"/>
        </w:rPr>
        <w:t>maturation phase defined in section 8.3.</w:t>
      </w:r>
    </w:p>
    <w:p w14:paraId="0D63DDEA" w14:textId="1FAD6164" w:rsidR="00A8288E" w:rsidRPr="0050011A" w:rsidRDefault="00A8288E" w:rsidP="00A8288E">
      <w:pPr>
        <w:pStyle w:val="Heading3"/>
        <w:rPr>
          <w:rFonts w:cs="Arial"/>
          <w:b w:val="0"/>
        </w:rPr>
      </w:pPr>
      <w:bookmarkStart w:id="66" w:name="_Toc1003883367"/>
      <w:r w:rsidRPr="54AD4DA9">
        <w:rPr>
          <w:rFonts w:cs="Arial"/>
        </w:rPr>
        <w:t>5.2.2 Membershi</w:t>
      </w:r>
      <w:r w:rsidR="0002411A" w:rsidRPr="54AD4DA9">
        <w:rPr>
          <w:rFonts w:cs="Arial"/>
        </w:rPr>
        <w:t>p Agreement</w:t>
      </w:r>
      <w:bookmarkEnd w:id="66"/>
    </w:p>
    <w:p w14:paraId="591624E4" w14:textId="2473DF76" w:rsidR="00CB4B84" w:rsidRPr="0050011A" w:rsidRDefault="007A354C" w:rsidP="00AA175D">
      <w:pPr>
        <w:rPr>
          <w:rFonts w:cs="Arial"/>
        </w:rPr>
      </w:pPr>
      <w:r w:rsidRPr="0050011A">
        <w:rPr>
          <w:rFonts w:cs="Arial"/>
        </w:rPr>
        <w:t xml:space="preserve">Every participant who joins the dataspace, </w:t>
      </w:r>
      <w:r w:rsidR="00792C00" w:rsidRPr="0050011A">
        <w:rPr>
          <w:rFonts w:cs="Arial"/>
        </w:rPr>
        <w:t>regardless of their role, must sign a membership agreement before</w:t>
      </w:r>
      <w:r w:rsidR="00AB7FC5" w:rsidRPr="0050011A">
        <w:rPr>
          <w:rFonts w:cs="Arial"/>
        </w:rPr>
        <w:t xml:space="preserve"> gaining access to any data or services</w:t>
      </w:r>
      <w:r w:rsidR="00B51EFF" w:rsidRPr="0050011A">
        <w:rPr>
          <w:rFonts w:cs="Arial"/>
        </w:rPr>
        <w:t xml:space="preserve">. </w:t>
      </w:r>
      <w:r w:rsidR="00BE0812" w:rsidRPr="0050011A">
        <w:rPr>
          <w:rFonts w:cs="Arial"/>
        </w:rPr>
        <w:t>This is non-negotiable, as without such an agreement</w:t>
      </w:r>
      <w:r w:rsidR="00B0558B" w:rsidRPr="0050011A">
        <w:rPr>
          <w:rFonts w:cs="Arial"/>
        </w:rPr>
        <w:t>,</w:t>
      </w:r>
      <w:r w:rsidR="00BE0812" w:rsidRPr="0050011A">
        <w:rPr>
          <w:rFonts w:cs="Arial"/>
        </w:rPr>
        <w:t xml:space="preserve"> </w:t>
      </w:r>
      <w:r w:rsidR="00B0558B" w:rsidRPr="0050011A">
        <w:rPr>
          <w:rFonts w:cs="Arial"/>
        </w:rPr>
        <w:t>there is no legal or ethical basis for participation.</w:t>
      </w:r>
      <w:r w:rsidR="004935A4" w:rsidRPr="0050011A">
        <w:rPr>
          <w:rFonts w:cs="Arial"/>
        </w:rPr>
        <w:t xml:space="preserve"> </w:t>
      </w:r>
      <w:r w:rsidR="00887199" w:rsidRPr="0050011A">
        <w:rPr>
          <w:rFonts w:cs="Arial"/>
        </w:rPr>
        <w:t>The membership agreement establishes the conditions under which a</w:t>
      </w:r>
      <w:r w:rsidR="00477DEF" w:rsidRPr="0050011A">
        <w:rPr>
          <w:rFonts w:cs="Arial"/>
        </w:rPr>
        <w:t xml:space="preserve"> new participant </w:t>
      </w:r>
      <w:r w:rsidR="00887199" w:rsidRPr="0050011A">
        <w:rPr>
          <w:rFonts w:cs="Arial"/>
        </w:rPr>
        <w:t xml:space="preserve">may participate in the dataspace and confirms </w:t>
      </w:r>
      <w:r w:rsidR="00B942A5" w:rsidRPr="0050011A">
        <w:rPr>
          <w:rFonts w:cs="Arial"/>
        </w:rPr>
        <w:t>their</w:t>
      </w:r>
      <w:r w:rsidR="00887199" w:rsidRPr="0050011A">
        <w:rPr>
          <w:rFonts w:cs="Arial"/>
        </w:rPr>
        <w:t xml:space="preserve"> acceptance of the governance and ethical requirements </w:t>
      </w:r>
      <w:r w:rsidR="00E8749E" w:rsidRPr="0050011A">
        <w:rPr>
          <w:rFonts w:cs="Arial"/>
        </w:rPr>
        <w:t>of the dataspace</w:t>
      </w:r>
      <w:r w:rsidR="00887199" w:rsidRPr="0050011A">
        <w:rPr>
          <w:rFonts w:cs="Arial"/>
        </w:rPr>
        <w:t>.</w:t>
      </w:r>
      <w:r w:rsidR="00E8749E" w:rsidRPr="0050011A">
        <w:rPr>
          <w:rFonts w:cs="Arial"/>
        </w:rPr>
        <w:t xml:space="preserve"> </w:t>
      </w:r>
      <w:r w:rsidR="00BE6325" w:rsidRPr="0050011A">
        <w:rPr>
          <w:rFonts w:cs="Arial"/>
        </w:rPr>
        <w:t xml:space="preserve">By signing the agreement, participants accept </w:t>
      </w:r>
      <w:r w:rsidR="001C3E04" w:rsidRPr="0050011A">
        <w:rPr>
          <w:rFonts w:cs="Arial"/>
        </w:rPr>
        <w:t>that responsible data use is not optional but a condition of participation.</w:t>
      </w:r>
      <w:r w:rsidR="00EA7B14" w:rsidRPr="0050011A">
        <w:rPr>
          <w:rFonts w:cs="Arial"/>
        </w:rPr>
        <w:t xml:space="preserve"> The agreement must specify</w:t>
      </w:r>
      <w:r w:rsidR="00CB4B84" w:rsidRPr="0050011A">
        <w:rPr>
          <w:rFonts w:cs="Arial"/>
        </w:rPr>
        <w:t xml:space="preserve"> the participant's role and associated responsibilities as defined in section 5.1, their obligation to designate a Reference Person who serves as the ethical accountability point within their organisation, their commitment to GDPR compliance and the applicable provisions of the Data Governance Act, their acceptance of the monitoring and audit mechanisms defined in section 5.6, and the consequences of non-compliance as defined in section 5.8.</w:t>
      </w:r>
      <w:r w:rsidR="00822E27" w:rsidRPr="0050011A">
        <w:rPr>
          <w:rFonts w:cs="Arial"/>
        </w:rPr>
        <w:t xml:space="preserve"> The membership agreement must be reviewed and re-signed whenever significant changes are made to the governance framework, ensuring that all participants remain bound to the current version of the ethical commitments rather than an outdated one.</w:t>
      </w:r>
    </w:p>
    <w:p w14:paraId="5482F709" w14:textId="7B250957" w:rsidR="0091367B" w:rsidRPr="0050011A" w:rsidRDefault="0091367B" w:rsidP="0091367B">
      <w:pPr>
        <w:pStyle w:val="Heading3"/>
        <w:rPr>
          <w:rFonts w:cs="Arial"/>
          <w:b w:val="0"/>
        </w:rPr>
      </w:pPr>
      <w:bookmarkStart w:id="67" w:name="_Toc1489413440"/>
      <w:r w:rsidRPr="54AD4DA9">
        <w:rPr>
          <w:rFonts w:cs="Arial"/>
        </w:rPr>
        <w:t>5.2.3 Data Sharing Agreements</w:t>
      </w:r>
      <w:bookmarkEnd w:id="67"/>
    </w:p>
    <w:p w14:paraId="126E06EA" w14:textId="68F8C31C" w:rsidR="0002411A" w:rsidRPr="0050011A" w:rsidRDefault="00E90118" w:rsidP="00AA175D">
      <w:pPr>
        <w:rPr>
          <w:rFonts w:cs="Arial"/>
        </w:rPr>
      </w:pPr>
      <w:r w:rsidRPr="0050011A">
        <w:rPr>
          <w:rFonts w:cs="Arial"/>
        </w:rPr>
        <w:t xml:space="preserve">Where the founding and membership agreements </w:t>
      </w:r>
      <w:r w:rsidR="00F162F4" w:rsidRPr="0050011A">
        <w:rPr>
          <w:rFonts w:cs="Arial"/>
        </w:rPr>
        <w:t xml:space="preserve">establish the overall governance structure, use-case-specific data sharing </w:t>
      </w:r>
      <w:r w:rsidR="00A60A59" w:rsidRPr="0050011A">
        <w:rPr>
          <w:rFonts w:cs="Arial"/>
        </w:rPr>
        <w:t>agreements govern the ethical and legal</w:t>
      </w:r>
      <w:r w:rsidR="00E71381" w:rsidRPr="0050011A">
        <w:rPr>
          <w:rFonts w:cs="Arial"/>
        </w:rPr>
        <w:t xml:space="preserve"> limits of each individual data exchange within the dataspace.</w:t>
      </w:r>
      <w:r w:rsidR="002327E6" w:rsidRPr="0050011A">
        <w:rPr>
          <w:rFonts w:cs="Arial"/>
        </w:rPr>
        <w:t xml:space="preserve"> A separate data sharing agreement is required for </w:t>
      </w:r>
      <w:r w:rsidR="00AC676A" w:rsidRPr="0050011A">
        <w:rPr>
          <w:rFonts w:cs="Arial"/>
        </w:rPr>
        <w:t>every use case that involves restricted or private data</w:t>
      </w:r>
      <w:r w:rsidR="008F6AD9" w:rsidRPr="0050011A">
        <w:rPr>
          <w:rFonts w:cs="Arial"/>
        </w:rPr>
        <w:t xml:space="preserve">. </w:t>
      </w:r>
      <w:r w:rsidR="00751D22" w:rsidRPr="0050011A">
        <w:rPr>
          <w:rFonts w:cs="Arial"/>
        </w:rPr>
        <w:t>These agreements ensure that access to data is tied to a clearly defined purpose and cannot be expanded without further review and approval</w:t>
      </w:r>
      <w:r w:rsidR="00F72FBF" w:rsidRPr="0050011A">
        <w:rPr>
          <w:rFonts w:cs="Arial"/>
        </w:rPr>
        <w:t xml:space="preserve">. By </w:t>
      </w:r>
      <w:r w:rsidR="00C5194B" w:rsidRPr="0050011A">
        <w:rPr>
          <w:rFonts w:cs="Arial"/>
        </w:rPr>
        <w:t xml:space="preserve">specifying precisely what data is shared, for what </w:t>
      </w:r>
      <w:r w:rsidR="000F1AA5" w:rsidRPr="0050011A">
        <w:rPr>
          <w:rFonts w:cs="Arial"/>
        </w:rPr>
        <w:t xml:space="preserve">purpose, under what restrictions, and for how long, they </w:t>
      </w:r>
      <w:r w:rsidR="002064EC" w:rsidRPr="0050011A">
        <w:rPr>
          <w:rFonts w:cs="Arial"/>
        </w:rPr>
        <w:t xml:space="preserve">prevent any claim that broader </w:t>
      </w:r>
      <w:r w:rsidR="00661586" w:rsidRPr="0050011A">
        <w:rPr>
          <w:rFonts w:cs="Arial"/>
        </w:rPr>
        <w:t>or</w:t>
      </w:r>
      <w:r w:rsidR="002064EC" w:rsidRPr="0050011A">
        <w:rPr>
          <w:rFonts w:cs="Arial"/>
        </w:rPr>
        <w:t xml:space="preserve"> different use was </w:t>
      </w:r>
      <w:r w:rsidR="00355849" w:rsidRPr="0050011A">
        <w:rPr>
          <w:rFonts w:cs="Arial"/>
        </w:rPr>
        <w:t xml:space="preserve">permitted and </w:t>
      </w:r>
      <w:r w:rsidR="002B2828" w:rsidRPr="0050011A">
        <w:rPr>
          <w:rFonts w:cs="Arial"/>
        </w:rPr>
        <w:t>make</w:t>
      </w:r>
      <w:r w:rsidR="00661586" w:rsidRPr="0050011A">
        <w:rPr>
          <w:rFonts w:cs="Arial"/>
        </w:rPr>
        <w:t xml:space="preserve"> mission creep </w:t>
      </w:r>
      <w:r w:rsidR="002B2828" w:rsidRPr="0050011A">
        <w:rPr>
          <w:rFonts w:cs="Arial"/>
        </w:rPr>
        <w:t xml:space="preserve">structurally impossible rather than just discouraged. </w:t>
      </w:r>
      <w:r w:rsidR="000E3396" w:rsidRPr="0050011A">
        <w:rPr>
          <w:rFonts w:cs="Arial"/>
        </w:rPr>
        <w:t>Each data sharing agreement must include: a precise description of the data being shared, the specific</w:t>
      </w:r>
      <w:r w:rsidR="009B0E6A" w:rsidRPr="0050011A">
        <w:rPr>
          <w:rFonts w:cs="Arial"/>
        </w:rPr>
        <w:t xml:space="preserve"> and limited purpose for which it may be used, the duration of the agreement after which access expires automatically, any restrictions on </w:t>
      </w:r>
      <w:r w:rsidR="005862B4" w:rsidRPr="0050011A">
        <w:rPr>
          <w:rFonts w:cs="Arial"/>
        </w:rPr>
        <w:t>further sharing or processing, the legal basis under GDPR for the processing, the obligations of both the data provider</w:t>
      </w:r>
      <w:r w:rsidR="00C10BAF" w:rsidRPr="0050011A">
        <w:rPr>
          <w:rFonts w:cs="Arial"/>
        </w:rPr>
        <w:t xml:space="preserve"> and the data user during the agreement period, the conditions under which the agreement can be terminated early</w:t>
      </w:r>
      <w:r w:rsidR="00187DA8" w:rsidRPr="0050011A">
        <w:rPr>
          <w:rFonts w:cs="Arial"/>
        </w:rPr>
        <w:t>, and the data deletion or return obligations that are applicable when the agreement is ended.</w:t>
      </w:r>
      <w:r w:rsidR="00AC5F0F" w:rsidRPr="0050011A">
        <w:rPr>
          <w:rFonts w:cs="Arial"/>
        </w:rPr>
        <w:t xml:space="preserve"> These agreements must also comply with the requirements of the Data Governance Act </w:t>
      </w:r>
      <w:r w:rsidR="00003F70" w:rsidRPr="0050011A">
        <w:rPr>
          <w:rFonts w:cs="Arial"/>
        </w:rPr>
        <w:t>concerning the reuse of public sector data and, where applicable, the conditions introduced by the Data Act governing access to IoT-generated data, such as the sensor data collected at the J.F. Kennedylaan intersection.</w:t>
      </w:r>
    </w:p>
    <w:p w14:paraId="60AF9E51" w14:textId="759C1721" w:rsidR="00081DB4" w:rsidRPr="0050011A" w:rsidRDefault="00081DB4" w:rsidP="00AA175D">
      <w:pPr>
        <w:rPr>
          <w:rFonts w:cs="Arial"/>
        </w:rPr>
      </w:pPr>
      <w:r w:rsidRPr="0050011A">
        <w:rPr>
          <w:rFonts w:cs="Arial"/>
        </w:rPr>
        <w:t xml:space="preserve">Together, these three layers ensure that the governance framework is not simply a </w:t>
      </w:r>
      <w:r w:rsidR="00971960" w:rsidRPr="0050011A">
        <w:rPr>
          <w:rFonts w:cs="Arial"/>
        </w:rPr>
        <w:t>set of principles that participants are encouraged to follow, but rather a structure that can be enforced in practice.</w:t>
      </w:r>
      <w:r w:rsidR="0027315C" w:rsidRPr="0050011A">
        <w:rPr>
          <w:rFonts w:cs="Arial"/>
        </w:rPr>
        <w:t xml:space="preserve"> Developing a minimum content checklist for each agreement layer is recommended as a practical next step to support implementation of this framework.</w:t>
      </w:r>
    </w:p>
    <w:p w14:paraId="4BD760A0" w14:textId="7F106B43" w:rsidR="0079393A" w:rsidRPr="0050011A" w:rsidRDefault="0079393A" w:rsidP="0079393A">
      <w:pPr>
        <w:pStyle w:val="Heading2"/>
        <w:rPr>
          <w:rFonts w:cs="Arial"/>
        </w:rPr>
      </w:pPr>
      <w:bookmarkStart w:id="68" w:name="_Toc230347190"/>
      <w:bookmarkStart w:id="69" w:name="_Toc1697126293"/>
      <w:r w:rsidRPr="54AD4DA9">
        <w:rPr>
          <w:rFonts w:cs="Arial"/>
        </w:rPr>
        <w:t>5.3 Access and Usage Policies</w:t>
      </w:r>
      <w:r w:rsidR="00AF6701" w:rsidRPr="54AD4DA9">
        <w:rPr>
          <w:rFonts w:cs="Arial"/>
        </w:rPr>
        <w:t>: Open Data</w:t>
      </w:r>
      <w:bookmarkEnd w:id="68"/>
      <w:bookmarkEnd w:id="69"/>
    </w:p>
    <w:p w14:paraId="05DEB926" w14:textId="3896D32D" w:rsidR="795C8096" w:rsidRPr="0050011A" w:rsidRDefault="795C8096" w:rsidP="41A79DFE">
      <w:pPr>
        <w:spacing w:before="240" w:after="240"/>
        <w:rPr>
          <w:rFonts w:cs="Arial"/>
        </w:rPr>
      </w:pPr>
      <w:r w:rsidRPr="0050011A">
        <w:rPr>
          <w:rFonts w:eastAsia="Calibri" w:cs="Arial"/>
        </w:rPr>
        <w:t>Within the Inzicht Verlicht dataspace, open data refers to datasets that have been formally assessed, approved and classified as freely accessible without individual access controls or usage restrictions. The DS4SSCC Blueprint Evolution (</w:t>
      </w:r>
      <w:r w:rsidR="79CED42A" w:rsidRPr="0050011A">
        <w:rPr>
          <w:rFonts w:eastAsia="Calibri" w:cs="Arial"/>
        </w:rPr>
        <w:t>D2.3, Table 8, p. 44</w:t>
      </w:r>
      <w:r w:rsidRPr="0050011A">
        <w:rPr>
          <w:rFonts w:eastAsia="Calibri" w:cs="Arial"/>
        </w:rPr>
        <w:t xml:space="preserve">) identifies data providers as responsible for defining dataset terms and conditions of use, including explicit policies on whether data is open, restricted or private, and for ensuring anonymisation where applicable. This makes clear that open </w:t>
      </w:r>
      <w:r w:rsidRPr="0050011A">
        <w:rPr>
          <w:rFonts w:eastAsia="Calibri" w:cs="Arial"/>
        </w:rPr>
        <w:lastRenderedPageBreak/>
        <w:t>data status is not a passive or default condition</w:t>
      </w:r>
      <w:r w:rsidR="4004889D" w:rsidRPr="0050011A">
        <w:rPr>
          <w:rFonts w:eastAsia="Calibri" w:cs="Arial"/>
        </w:rPr>
        <w:t xml:space="preserve">, </w:t>
      </w:r>
      <w:r w:rsidR="1C858DCE" w:rsidRPr="0050011A">
        <w:rPr>
          <w:rFonts w:eastAsia="Calibri" w:cs="Arial"/>
        </w:rPr>
        <w:t>but it</w:t>
      </w:r>
      <w:r w:rsidRPr="0050011A">
        <w:rPr>
          <w:rFonts w:eastAsia="Calibri" w:cs="Arial"/>
        </w:rPr>
        <w:t xml:space="preserve"> is a deliberate governance decision, reached only after a structured assessment process and formal approval by the Governance Authority.</w:t>
      </w:r>
    </w:p>
    <w:p w14:paraId="4328F4E0" w14:textId="207D75CB" w:rsidR="795C8096" w:rsidRPr="0050011A" w:rsidRDefault="795C8096" w:rsidP="41A79DFE">
      <w:pPr>
        <w:spacing w:before="240" w:after="240"/>
        <w:rPr>
          <w:rFonts w:cs="Arial"/>
        </w:rPr>
      </w:pPr>
      <w:r w:rsidRPr="0050011A">
        <w:rPr>
          <w:rFonts w:eastAsia="Calibri" w:cs="Arial"/>
        </w:rPr>
        <w:t xml:space="preserve">Before any dataset can be classified as open data, </w:t>
      </w:r>
      <w:r w:rsidR="3C4D8299" w:rsidRPr="0050011A">
        <w:rPr>
          <w:rFonts w:eastAsia="Calibri" w:cs="Arial"/>
        </w:rPr>
        <w:t xml:space="preserve">we think that </w:t>
      </w:r>
      <w:r w:rsidRPr="0050011A">
        <w:rPr>
          <w:rFonts w:eastAsia="Calibri" w:cs="Arial"/>
        </w:rPr>
        <w:t>three conditions must be met. First, a re-identification risk assessment must be completed, confirming that the data cannot be linked back to individuals</w:t>
      </w:r>
      <w:r w:rsidR="7A39D97A" w:rsidRPr="0050011A">
        <w:rPr>
          <w:rFonts w:eastAsia="Calibri" w:cs="Arial"/>
        </w:rPr>
        <w:t xml:space="preserve">, </w:t>
      </w:r>
      <w:r w:rsidRPr="0050011A">
        <w:rPr>
          <w:rFonts w:eastAsia="Calibri" w:cs="Arial"/>
        </w:rPr>
        <w:t xml:space="preserve">either directly or through combination with external datasets. This is particularly relevant in the Inzicht Verlicht context, where traffic flow and air quality data collected at a fixed intersection could, when combined with other urban datasets, potentially be used to infer patterns about individuals or specific groups. </w:t>
      </w:r>
      <w:r w:rsidR="68E76075" w:rsidRPr="0050011A">
        <w:rPr>
          <w:rFonts w:eastAsia="Calibri" w:cs="Arial"/>
        </w:rPr>
        <w:t xml:space="preserve">The DS4SSCC project itself notes that real-time traffic data can sometimes pinpoint individuals, and that regulatory compliance, particularly with GDPR, which is therefore crucial for any data sharing activity (D2.3, section 4.2.1.5, p. 37). </w:t>
      </w:r>
      <w:r w:rsidRPr="0050011A">
        <w:rPr>
          <w:rFonts w:eastAsia="Calibri" w:cs="Arial"/>
        </w:rPr>
        <w:t>The assessment must therefore account not only for the dataset in isolation, but for the realistic risk of cross-referencing with other publicly available or internally held data sources. Second, documented evidence of data minimisation must be present, demonstrating that only the data strictly necessary for the intended purpose has been collected and retained. Third, the Governance Authority must formally approve the open data classification, in line with its responsibility under the DS4SSCC framework to ensure and monitor the responsible and fair use of data</w:t>
      </w:r>
      <w:r w:rsidR="52C8FCF3" w:rsidRPr="0050011A">
        <w:rPr>
          <w:rFonts w:eastAsia="Calibri" w:cs="Arial"/>
        </w:rPr>
        <w:t xml:space="preserve"> (D2.3, Table 8, p. 46)</w:t>
      </w:r>
      <w:r w:rsidRPr="0050011A">
        <w:rPr>
          <w:rFonts w:eastAsia="Calibri" w:cs="Arial"/>
        </w:rPr>
        <w:t>.</w:t>
      </w:r>
    </w:p>
    <w:p w14:paraId="3D217E10" w14:textId="2427DC99" w:rsidR="795C8096" w:rsidRPr="0050011A" w:rsidRDefault="795C8096" w:rsidP="41A79DFE">
      <w:pPr>
        <w:spacing w:before="240" w:after="240"/>
        <w:rPr>
          <w:rFonts w:cs="Arial"/>
        </w:rPr>
      </w:pPr>
      <w:r w:rsidRPr="0050011A">
        <w:rPr>
          <w:rFonts w:eastAsia="Calibri" w:cs="Arial"/>
        </w:rPr>
        <w:t xml:space="preserve">Once classified, </w:t>
      </w:r>
      <w:r w:rsidR="00A73D99">
        <w:rPr>
          <w:rFonts w:eastAsia="Calibri" w:cs="Arial"/>
        </w:rPr>
        <w:t>the</w:t>
      </w:r>
      <w:r w:rsidRPr="0050011A">
        <w:rPr>
          <w:rFonts w:eastAsia="Calibri" w:cs="Arial"/>
        </w:rPr>
        <w:t xml:space="preserve"> open data status is not permanent. The DS4SSCC framework emphasises that data governance </w:t>
      </w:r>
      <w:r w:rsidR="52CCB995" w:rsidRPr="0050011A">
        <w:rPr>
          <w:rFonts w:eastAsia="Calibri" w:cs="Arial"/>
        </w:rPr>
        <w:t>must include establishing oversight, transparency and accountability mechanisms, and creating procedures for ongoing review (D2.3, section 4.1.1, p. 22).</w:t>
      </w:r>
      <w:r w:rsidRPr="0050011A">
        <w:rPr>
          <w:rFonts w:eastAsia="Calibri" w:cs="Arial"/>
        </w:rPr>
        <w:t xml:space="preserve"> Open data classifications must therefore be reviewed periodically as part of the dataspace's regular governance cycle. A mandatory reassessment is also triggered whenever new datasets are introduced into the dataspace that could, in combination with existing open datasets, increase the risk of re-identification or unintended disclosure. This aligns with the broader DS4SSCC principle that data sharing and reuse must always demonstrate clear societal value while upholding data sovereignty and privacy protection</w:t>
      </w:r>
      <w:r w:rsidR="75A1CF98" w:rsidRPr="0050011A">
        <w:rPr>
          <w:rFonts w:eastAsia="Calibri" w:cs="Arial"/>
        </w:rPr>
        <w:t xml:space="preserve"> (D2.3, section 4.1.1, p. 23)</w:t>
      </w:r>
      <w:r w:rsidRPr="0050011A">
        <w:rPr>
          <w:rFonts w:eastAsia="Calibri" w:cs="Arial"/>
        </w:rPr>
        <w:t>.</w:t>
      </w:r>
    </w:p>
    <w:p w14:paraId="3CB5EB96" w14:textId="1C1CBA31" w:rsidR="41A79DFE" w:rsidRPr="0050011A" w:rsidRDefault="795C8096" w:rsidP="008469D2">
      <w:pPr>
        <w:spacing w:before="240" w:after="240"/>
        <w:rPr>
          <w:rFonts w:cs="Arial"/>
        </w:rPr>
      </w:pPr>
      <w:r w:rsidRPr="0050011A">
        <w:rPr>
          <w:rFonts w:eastAsia="Calibri" w:cs="Arial"/>
        </w:rPr>
        <w:t>This approach reflects the understanding, embedded in the DS4SSCC Blueprint, that openness and responsibility are complementary rather than competing goals. Making data accessible supports transparency and public value creation, but only when pursued through structured, deliberate governance decisions rather than assumption or default.</w:t>
      </w:r>
    </w:p>
    <w:p w14:paraId="142D3EB3" w14:textId="0F65EA0C" w:rsidR="00AF6701" w:rsidRPr="0050011A" w:rsidRDefault="00AF6701" w:rsidP="00AF6701">
      <w:pPr>
        <w:pStyle w:val="Heading2"/>
        <w:rPr>
          <w:rFonts w:cs="Arial"/>
        </w:rPr>
      </w:pPr>
      <w:bookmarkStart w:id="70" w:name="_Toc230347191"/>
      <w:bookmarkStart w:id="71" w:name="_Toc1769203784"/>
      <w:r w:rsidRPr="54AD4DA9">
        <w:rPr>
          <w:rFonts w:cs="Arial"/>
        </w:rPr>
        <w:t>5.4 Access and Usage Policies: Restricted Data</w:t>
      </w:r>
      <w:bookmarkEnd w:id="70"/>
      <w:r w:rsidR="005C3619" w:rsidRPr="54AD4DA9">
        <w:rPr>
          <w:rFonts w:cs="Arial"/>
        </w:rPr>
        <w:t xml:space="preserve"> (lotte)</w:t>
      </w:r>
      <w:bookmarkEnd w:id="71"/>
    </w:p>
    <w:p w14:paraId="6DAB206F" w14:textId="039119EE" w:rsidR="00BF6216" w:rsidRPr="0050011A" w:rsidRDefault="00BF6216" w:rsidP="00BF6216">
      <w:pPr>
        <w:rPr>
          <w:rFonts w:cs="Arial"/>
        </w:rPr>
      </w:pPr>
      <w:r w:rsidRPr="0050011A">
        <w:rPr>
          <w:rFonts w:cs="Arial"/>
        </w:rPr>
        <w:t>Not all data within the dataspace carries the same level of sensitivity, and not all requests to access it carry the same level of risk. A governance framework that treats every access request identically, regardless of what data is being requested, who is requesting it, or for what purpose, fails to reflect the ethical reality that different combinations of data, requester, and purpose carry meaningfully different potential for harm. The process defined below is built on the principle that the level of scrutiny applied to an access request must be proportionate to the sensitivity of the data and the risk profile of the requester.</w:t>
      </w:r>
    </w:p>
    <w:p w14:paraId="59083FC1" w14:textId="0036FAB8" w:rsidR="00BF6216" w:rsidRPr="0050011A" w:rsidRDefault="00BF6216" w:rsidP="00BF6216">
      <w:pPr>
        <w:rPr>
          <w:rFonts w:cs="Arial"/>
        </w:rPr>
      </w:pPr>
      <w:r w:rsidRPr="0050011A">
        <w:rPr>
          <w:rFonts w:cs="Arial"/>
        </w:rPr>
        <w:t>This is not simply a procedural distinction. A commercial actor seeking access to sensitive mobility or energy data carries a different ethical risk profile than a public research institution pursuing a defined public interest purpose. Treating these two requests through the same process would not be neutral</w:t>
      </w:r>
      <w:r w:rsidR="00650113" w:rsidRPr="0050011A">
        <w:rPr>
          <w:rFonts w:cs="Arial"/>
        </w:rPr>
        <w:t xml:space="preserve">, </w:t>
      </w:r>
      <w:r w:rsidRPr="0050011A">
        <w:rPr>
          <w:rFonts w:cs="Arial"/>
        </w:rPr>
        <w:t>it would be a failure to take the difference seriously. The framework must reflect that difference explicitly, not leave it to the discretion of whoever happens to be reviewing the request on a given day.</w:t>
      </w:r>
    </w:p>
    <w:p w14:paraId="2199C0F4" w14:textId="72EF12F5" w:rsidR="005B3B9D" w:rsidRPr="0050011A" w:rsidRDefault="00650113" w:rsidP="00650113">
      <w:pPr>
        <w:pStyle w:val="Heading3"/>
        <w:rPr>
          <w:rFonts w:cs="Arial"/>
        </w:rPr>
      </w:pPr>
      <w:bookmarkStart w:id="72" w:name="_Toc847401724"/>
      <w:r w:rsidRPr="54AD4DA9">
        <w:rPr>
          <w:rFonts w:cs="Arial"/>
        </w:rPr>
        <w:t xml:space="preserve">5.4.1 </w:t>
      </w:r>
      <w:r w:rsidR="00602294" w:rsidRPr="54AD4DA9">
        <w:rPr>
          <w:rFonts w:cs="Arial"/>
        </w:rPr>
        <w:t>What a Request Must Contain</w:t>
      </w:r>
      <w:bookmarkEnd w:id="72"/>
    </w:p>
    <w:p w14:paraId="07FD0F36" w14:textId="0319F91D" w:rsidR="00602294" w:rsidRPr="0050011A" w:rsidRDefault="00602294" w:rsidP="00602294">
      <w:pPr>
        <w:rPr>
          <w:rFonts w:cs="Arial"/>
        </w:rPr>
      </w:pPr>
      <w:r w:rsidRPr="0050011A">
        <w:rPr>
          <w:rFonts w:cs="Arial"/>
        </w:rPr>
        <w:t xml:space="preserve">Every request to access restricted data must be submitted </w:t>
      </w:r>
      <w:r w:rsidR="00CB7E20" w:rsidRPr="0050011A">
        <w:rPr>
          <w:rFonts w:cs="Arial"/>
        </w:rPr>
        <w:t xml:space="preserve">in writing through the designated access request channel managed by the Coordinating Entity. A request that does not contain all required </w:t>
      </w:r>
      <w:r w:rsidR="00CB7E20" w:rsidRPr="0050011A">
        <w:rPr>
          <w:rFonts w:cs="Arial"/>
        </w:rPr>
        <w:lastRenderedPageBreak/>
        <w:t>elements will not be considered complete</w:t>
      </w:r>
      <w:r w:rsidR="0059368A" w:rsidRPr="0050011A">
        <w:rPr>
          <w:rFonts w:cs="Arial"/>
        </w:rPr>
        <w:t xml:space="preserve"> and will not be considered ready to review until the missing information is supplied.</w:t>
      </w:r>
    </w:p>
    <w:p w14:paraId="7F40B707" w14:textId="21B15207" w:rsidR="0059368A" w:rsidRPr="0050011A" w:rsidRDefault="0059368A" w:rsidP="00602294">
      <w:pPr>
        <w:rPr>
          <w:rFonts w:cs="Arial"/>
        </w:rPr>
      </w:pPr>
      <w:r w:rsidRPr="0050011A">
        <w:rPr>
          <w:rFonts w:cs="Arial"/>
        </w:rPr>
        <w:t>A complete access request must include:</w:t>
      </w:r>
    </w:p>
    <w:p w14:paraId="094665D7" w14:textId="38FAF9C5" w:rsidR="0059368A" w:rsidRPr="0050011A" w:rsidRDefault="00642BEA" w:rsidP="0059368A">
      <w:pPr>
        <w:pStyle w:val="ListParagraph"/>
        <w:numPr>
          <w:ilvl w:val="0"/>
          <w:numId w:val="13"/>
        </w:numPr>
        <w:rPr>
          <w:rFonts w:cs="Arial"/>
        </w:rPr>
      </w:pPr>
      <w:r w:rsidRPr="0050011A">
        <w:rPr>
          <w:rFonts w:cs="Arial"/>
        </w:rPr>
        <w:t xml:space="preserve">The identity of the requesting </w:t>
      </w:r>
      <w:r w:rsidR="003E2A29">
        <w:rPr>
          <w:rFonts w:cs="Arial"/>
        </w:rPr>
        <w:t>organisation</w:t>
      </w:r>
      <w:r w:rsidRPr="0050011A">
        <w:rPr>
          <w:rFonts w:cs="Arial"/>
        </w:rPr>
        <w:t xml:space="preserve"> and the designated Reference person responsible for the re</w:t>
      </w:r>
      <w:r w:rsidR="001D457F" w:rsidRPr="0050011A">
        <w:rPr>
          <w:rFonts w:cs="Arial"/>
        </w:rPr>
        <w:t xml:space="preserve">quested access within </w:t>
      </w:r>
      <w:r w:rsidR="00B16673" w:rsidRPr="0050011A">
        <w:rPr>
          <w:rFonts w:cs="Arial"/>
        </w:rPr>
        <w:t>that</w:t>
      </w:r>
      <w:r w:rsidR="00801F95" w:rsidRPr="0050011A">
        <w:rPr>
          <w:rFonts w:cs="Arial"/>
        </w:rPr>
        <w:t xml:space="preserve"> </w:t>
      </w:r>
      <w:r w:rsidR="003E2A29">
        <w:rPr>
          <w:rFonts w:cs="Arial"/>
        </w:rPr>
        <w:t>organisation</w:t>
      </w:r>
      <w:r w:rsidR="00DA1768" w:rsidRPr="0050011A">
        <w:rPr>
          <w:rFonts w:cs="Arial"/>
        </w:rPr>
        <w:t>.</w:t>
      </w:r>
    </w:p>
    <w:p w14:paraId="12C20B8D" w14:textId="52F1759F" w:rsidR="00801F95" w:rsidRPr="0050011A" w:rsidRDefault="00801F95" w:rsidP="0059368A">
      <w:pPr>
        <w:pStyle w:val="ListParagraph"/>
        <w:numPr>
          <w:ilvl w:val="0"/>
          <w:numId w:val="13"/>
        </w:numPr>
        <w:rPr>
          <w:rFonts w:cs="Arial"/>
        </w:rPr>
      </w:pPr>
      <w:r w:rsidRPr="0050011A">
        <w:rPr>
          <w:rFonts w:cs="Arial"/>
        </w:rPr>
        <w:t xml:space="preserve">A clear </w:t>
      </w:r>
      <w:r w:rsidR="00431ED3" w:rsidRPr="0050011A">
        <w:rPr>
          <w:rFonts w:cs="Arial"/>
        </w:rPr>
        <w:t xml:space="preserve">description of the data being requested, including the specific dataset, the variables or fields required, and the </w:t>
      </w:r>
      <w:r w:rsidR="00F525C9" w:rsidRPr="0050011A">
        <w:rPr>
          <w:rFonts w:cs="Arial"/>
        </w:rPr>
        <w:t>time</w:t>
      </w:r>
      <w:r w:rsidR="00431ED3" w:rsidRPr="0050011A">
        <w:rPr>
          <w:rFonts w:cs="Arial"/>
        </w:rPr>
        <w:t xml:space="preserve"> </w:t>
      </w:r>
      <w:r w:rsidR="00814791" w:rsidRPr="0050011A">
        <w:rPr>
          <w:rFonts w:cs="Arial"/>
        </w:rPr>
        <w:t>or scope of access sought.</w:t>
      </w:r>
    </w:p>
    <w:p w14:paraId="1E6E94D1" w14:textId="21AB9D85" w:rsidR="00814791" w:rsidRPr="0050011A" w:rsidRDefault="00DA1768" w:rsidP="0059368A">
      <w:pPr>
        <w:pStyle w:val="ListParagraph"/>
        <w:numPr>
          <w:ilvl w:val="0"/>
          <w:numId w:val="13"/>
        </w:numPr>
        <w:rPr>
          <w:rFonts w:cs="Arial"/>
        </w:rPr>
      </w:pPr>
      <w:r w:rsidRPr="0050011A">
        <w:rPr>
          <w:rFonts w:cs="Arial"/>
        </w:rPr>
        <w:t>A stated purpose, a precise explanation of what the data will be used for, how it will be processed, and what outcome it is intended to support.</w:t>
      </w:r>
    </w:p>
    <w:p w14:paraId="3DCF98F3" w14:textId="1B7CDBA7" w:rsidR="00DA1768" w:rsidRPr="0050011A" w:rsidRDefault="00DA1768" w:rsidP="0059368A">
      <w:pPr>
        <w:pStyle w:val="ListParagraph"/>
        <w:numPr>
          <w:ilvl w:val="0"/>
          <w:numId w:val="13"/>
        </w:numPr>
        <w:rPr>
          <w:rFonts w:cs="Arial"/>
        </w:rPr>
      </w:pPr>
      <w:r w:rsidRPr="0050011A">
        <w:rPr>
          <w:rFonts w:cs="Arial"/>
        </w:rPr>
        <w:t xml:space="preserve">A legal basis </w:t>
      </w:r>
      <w:r w:rsidR="00F25726" w:rsidRPr="0050011A">
        <w:rPr>
          <w:rFonts w:cs="Arial"/>
        </w:rPr>
        <w:t xml:space="preserve">for access under GDPR, identifying which </w:t>
      </w:r>
      <w:r w:rsidR="009021AF" w:rsidRPr="0050011A">
        <w:rPr>
          <w:rFonts w:cs="Arial"/>
        </w:rPr>
        <w:t>lawful ground applies and why.</w:t>
      </w:r>
    </w:p>
    <w:p w14:paraId="3DA8ED9B" w14:textId="084C800F" w:rsidR="009021AF" w:rsidRPr="0050011A" w:rsidRDefault="009021AF" w:rsidP="0059368A">
      <w:pPr>
        <w:pStyle w:val="ListParagraph"/>
        <w:numPr>
          <w:ilvl w:val="0"/>
          <w:numId w:val="13"/>
        </w:numPr>
        <w:rPr>
          <w:rFonts w:cs="Arial"/>
        </w:rPr>
      </w:pPr>
      <w:r w:rsidRPr="0050011A">
        <w:rPr>
          <w:rFonts w:cs="Arial"/>
        </w:rPr>
        <w:t xml:space="preserve">A description of the technical and </w:t>
      </w:r>
      <w:r w:rsidR="003E2A29">
        <w:rPr>
          <w:rFonts w:cs="Arial"/>
        </w:rPr>
        <w:t>organisational</w:t>
      </w:r>
      <w:r w:rsidRPr="0050011A">
        <w:rPr>
          <w:rFonts w:cs="Arial"/>
        </w:rPr>
        <w:t xml:space="preserve"> measures the requester has in place to protect</w:t>
      </w:r>
      <w:r w:rsidR="004418CD" w:rsidRPr="0050011A">
        <w:rPr>
          <w:rFonts w:cs="Arial"/>
        </w:rPr>
        <w:t xml:space="preserve"> the data during and after use.</w:t>
      </w:r>
    </w:p>
    <w:p w14:paraId="6EE55AE3" w14:textId="34F8E26B" w:rsidR="004418CD" w:rsidRPr="0050011A" w:rsidRDefault="004C5C45" w:rsidP="0059368A">
      <w:pPr>
        <w:pStyle w:val="ListParagraph"/>
        <w:numPr>
          <w:ilvl w:val="0"/>
          <w:numId w:val="13"/>
        </w:numPr>
        <w:rPr>
          <w:rFonts w:cs="Arial"/>
        </w:rPr>
      </w:pPr>
      <w:r w:rsidRPr="0050011A">
        <w:rPr>
          <w:rFonts w:cs="Arial"/>
        </w:rPr>
        <w:t xml:space="preserve">A declaration of whether the data will be shared </w:t>
      </w:r>
      <w:r w:rsidR="00E54773" w:rsidRPr="0050011A">
        <w:rPr>
          <w:rFonts w:cs="Arial"/>
        </w:rPr>
        <w:t>with any third parties, and if so, under what conditions</w:t>
      </w:r>
      <w:r w:rsidR="00A62D9E" w:rsidRPr="0050011A">
        <w:rPr>
          <w:rFonts w:cs="Arial"/>
        </w:rPr>
        <w:t>.</w:t>
      </w:r>
    </w:p>
    <w:p w14:paraId="2F9B84A4" w14:textId="201ED416" w:rsidR="00A62D9E" w:rsidRPr="0050011A" w:rsidRDefault="00A62D9E" w:rsidP="0059368A">
      <w:pPr>
        <w:pStyle w:val="ListParagraph"/>
        <w:numPr>
          <w:ilvl w:val="0"/>
          <w:numId w:val="13"/>
        </w:numPr>
        <w:rPr>
          <w:rFonts w:cs="Arial"/>
        </w:rPr>
      </w:pPr>
      <w:r w:rsidRPr="0050011A">
        <w:rPr>
          <w:rFonts w:cs="Arial"/>
        </w:rPr>
        <w:t>A proposed access duration, including a justification for why that duration is necessary.</w:t>
      </w:r>
    </w:p>
    <w:p w14:paraId="789D4BF3" w14:textId="18F67C80" w:rsidR="00A62D9E" w:rsidRPr="0050011A" w:rsidRDefault="00A62D9E" w:rsidP="0059368A">
      <w:pPr>
        <w:pStyle w:val="ListParagraph"/>
        <w:numPr>
          <w:ilvl w:val="0"/>
          <w:numId w:val="13"/>
        </w:numPr>
        <w:rPr>
          <w:rFonts w:cs="Arial"/>
        </w:rPr>
      </w:pPr>
      <w:r w:rsidRPr="0050011A">
        <w:rPr>
          <w:rFonts w:cs="Arial"/>
        </w:rPr>
        <w:t>A statement confirming that the requester has read and accepts the dataspace’s terms of use and ethical framework.</w:t>
      </w:r>
    </w:p>
    <w:p w14:paraId="4754AC19" w14:textId="45B154B9" w:rsidR="00A62D9E" w:rsidRPr="0050011A" w:rsidRDefault="00A62D9E" w:rsidP="00A62D9E">
      <w:pPr>
        <w:rPr>
          <w:rFonts w:cs="Arial"/>
        </w:rPr>
      </w:pPr>
      <w:r w:rsidRPr="0050011A">
        <w:rPr>
          <w:rFonts w:cs="Arial"/>
        </w:rPr>
        <w:t>Request</w:t>
      </w:r>
      <w:r w:rsidR="004B098D" w:rsidRPr="0050011A">
        <w:rPr>
          <w:rFonts w:cs="Arial"/>
        </w:rPr>
        <w:t>s</w:t>
      </w:r>
      <w:r w:rsidRPr="0050011A">
        <w:rPr>
          <w:rFonts w:cs="Arial"/>
        </w:rPr>
        <w:t xml:space="preserve"> that are vague about purpose, that request </w:t>
      </w:r>
      <w:r w:rsidR="004B098D" w:rsidRPr="0050011A">
        <w:rPr>
          <w:rFonts w:cs="Arial"/>
        </w:rPr>
        <w:t>broader access than the stated purpose requires, or that cannot identify a clear legal basis will be returned to the requester with a written explanation before any review takes place.</w:t>
      </w:r>
    </w:p>
    <w:p w14:paraId="08BC951E" w14:textId="320F29C5" w:rsidR="004B098D" w:rsidRPr="0050011A" w:rsidRDefault="004B098D" w:rsidP="004B098D">
      <w:pPr>
        <w:pStyle w:val="Heading3"/>
        <w:rPr>
          <w:rFonts w:cs="Arial"/>
        </w:rPr>
      </w:pPr>
      <w:bookmarkStart w:id="73" w:name="_Toc1812717525"/>
      <w:r w:rsidRPr="54AD4DA9">
        <w:rPr>
          <w:rFonts w:cs="Arial"/>
        </w:rPr>
        <w:t>5.4.2 Requester Profile Assessment</w:t>
      </w:r>
      <w:bookmarkEnd w:id="73"/>
    </w:p>
    <w:p w14:paraId="78949491" w14:textId="56D07E31" w:rsidR="00293BE6" w:rsidRPr="0050011A" w:rsidRDefault="00293BE6" w:rsidP="00293BE6">
      <w:pPr>
        <w:rPr>
          <w:rFonts w:cs="Arial"/>
        </w:rPr>
      </w:pPr>
      <w:r w:rsidRPr="0050011A">
        <w:rPr>
          <w:rFonts w:cs="Arial"/>
        </w:rPr>
        <w:t xml:space="preserve">Before a request proceeds to substantive review, the Coordinating Entity conducts a requester profile assessment. This step exists because the identity and nature of the requesting </w:t>
      </w:r>
      <w:r w:rsidR="00A73D99">
        <w:rPr>
          <w:rFonts w:cs="Arial"/>
        </w:rPr>
        <w:t>organisation are</w:t>
      </w:r>
      <w:r w:rsidRPr="0050011A">
        <w:rPr>
          <w:rFonts w:cs="Arial"/>
        </w:rPr>
        <w:t xml:space="preserve"> ethically relevant, not as a judgment about the requester's character, but as a structural recognition that different types of actors carry different risk profiles when accessing sensitive data.</w:t>
      </w:r>
    </w:p>
    <w:p w14:paraId="771472A9" w14:textId="3F709155" w:rsidR="00293BE6" w:rsidRPr="0050011A" w:rsidRDefault="00293BE6" w:rsidP="00293BE6">
      <w:pPr>
        <w:rPr>
          <w:rFonts w:cs="Arial"/>
        </w:rPr>
      </w:pPr>
      <w:r w:rsidRPr="0050011A">
        <w:rPr>
          <w:rFonts w:cs="Arial"/>
        </w:rPr>
        <w:t xml:space="preserve">The assessment </w:t>
      </w:r>
      <w:r w:rsidR="00A73D99">
        <w:rPr>
          <w:rFonts w:cs="Arial"/>
        </w:rPr>
        <w:t>categorises</w:t>
      </w:r>
      <w:r w:rsidRPr="0050011A">
        <w:rPr>
          <w:rFonts w:cs="Arial"/>
        </w:rPr>
        <w:t xml:space="preserve"> requesters into one of three profiles:</w:t>
      </w:r>
    </w:p>
    <w:p w14:paraId="3A10C58A" w14:textId="77777777" w:rsidR="00293BE6" w:rsidRPr="0050011A" w:rsidRDefault="00293BE6" w:rsidP="00293BE6">
      <w:pPr>
        <w:pStyle w:val="ListParagraph"/>
        <w:numPr>
          <w:ilvl w:val="0"/>
          <w:numId w:val="14"/>
        </w:numPr>
        <w:rPr>
          <w:rFonts w:cs="Arial"/>
        </w:rPr>
      </w:pPr>
      <w:r w:rsidRPr="0050011A">
        <w:rPr>
          <w:rFonts w:cs="Arial"/>
        </w:rPr>
        <w:t xml:space="preserve">Public interest actors </w:t>
      </w:r>
    </w:p>
    <w:p w14:paraId="667FC47D" w14:textId="57110C21" w:rsidR="00293BE6" w:rsidRPr="0050011A" w:rsidRDefault="00293BE6" w:rsidP="00293BE6">
      <w:pPr>
        <w:pStyle w:val="ListParagraph"/>
        <w:numPr>
          <w:ilvl w:val="1"/>
          <w:numId w:val="14"/>
        </w:numPr>
        <w:rPr>
          <w:rFonts w:cs="Arial"/>
        </w:rPr>
      </w:pPr>
      <w:r w:rsidRPr="0050011A">
        <w:rPr>
          <w:rFonts w:cs="Arial"/>
        </w:rPr>
        <w:t xml:space="preserve">public authorities, municipalities, publicly funded research institutions, and non-profit </w:t>
      </w:r>
      <w:r w:rsidR="00A73D99">
        <w:rPr>
          <w:rFonts w:cs="Arial"/>
        </w:rPr>
        <w:t>organisations</w:t>
      </w:r>
      <w:r w:rsidRPr="0050011A">
        <w:rPr>
          <w:rFonts w:cs="Arial"/>
        </w:rPr>
        <w:t xml:space="preserve"> whose stated purpose is aligned with the dataspace's public interest mandate. These requesters carry the lowest baseline ethical risk profile, provided their purpose is clearly defined and their data protection measures are adequate.</w:t>
      </w:r>
    </w:p>
    <w:p w14:paraId="5FE7EA28" w14:textId="77777777" w:rsidR="00293BE6" w:rsidRPr="0050011A" w:rsidRDefault="00293BE6" w:rsidP="00293BE6">
      <w:pPr>
        <w:pStyle w:val="ListParagraph"/>
        <w:numPr>
          <w:ilvl w:val="0"/>
          <w:numId w:val="14"/>
        </w:numPr>
        <w:rPr>
          <w:rFonts w:cs="Arial"/>
        </w:rPr>
      </w:pPr>
      <w:r w:rsidRPr="0050011A">
        <w:rPr>
          <w:rFonts w:cs="Arial"/>
        </w:rPr>
        <w:t xml:space="preserve">Academic and research actors </w:t>
      </w:r>
    </w:p>
    <w:p w14:paraId="4EA1DC6E" w14:textId="0D66DD48" w:rsidR="00293BE6" w:rsidRPr="0050011A" w:rsidRDefault="00293BE6" w:rsidP="00293BE6">
      <w:pPr>
        <w:pStyle w:val="ListParagraph"/>
        <w:numPr>
          <w:ilvl w:val="1"/>
          <w:numId w:val="14"/>
        </w:numPr>
        <w:rPr>
          <w:rFonts w:cs="Arial"/>
        </w:rPr>
      </w:pPr>
      <w:r w:rsidRPr="0050011A">
        <w:rPr>
          <w:rFonts w:cs="Arial"/>
        </w:rPr>
        <w:t xml:space="preserve">universities, research institutes, and similar </w:t>
      </w:r>
      <w:r w:rsidR="00A73D99">
        <w:rPr>
          <w:rFonts w:cs="Arial"/>
        </w:rPr>
        <w:t>organisations</w:t>
      </w:r>
      <w:r w:rsidRPr="0050011A">
        <w:rPr>
          <w:rFonts w:cs="Arial"/>
        </w:rPr>
        <w:t xml:space="preserve"> accessing data for defined research purposes. These requesters occupy an intermediate profile. The public benefit of research is </w:t>
      </w:r>
      <w:r w:rsidR="00A73D99">
        <w:rPr>
          <w:rFonts w:cs="Arial"/>
        </w:rPr>
        <w:t>recognised</w:t>
      </w:r>
      <w:r w:rsidRPr="0050011A">
        <w:rPr>
          <w:rFonts w:cs="Arial"/>
        </w:rPr>
        <w:t>, but the risk of data being used beyond its original research scope, or of research outputs indirectly enabling misuse, requires careful scrutiny of purpose and output conditions.</w:t>
      </w:r>
    </w:p>
    <w:p w14:paraId="5169087D" w14:textId="77777777" w:rsidR="00293BE6" w:rsidRPr="0050011A" w:rsidRDefault="00293BE6" w:rsidP="00293BE6">
      <w:pPr>
        <w:pStyle w:val="ListParagraph"/>
        <w:numPr>
          <w:ilvl w:val="0"/>
          <w:numId w:val="14"/>
        </w:numPr>
        <w:rPr>
          <w:rFonts w:cs="Arial"/>
        </w:rPr>
      </w:pPr>
      <w:r w:rsidRPr="0050011A">
        <w:rPr>
          <w:rFonts w:cs="Arial"/>
        </w:rPr>
        <w:t xml:space="preserve">Commercial actors </w:t>
      </w:r>
    </w:p>
    <w:p w14:paraId="32924CD1" w14:textId="7F02F864" w:rsidR="00293BE6" w:rsidRPr="0050011A" w:rsidRDefault="00293BE6" w:rsidP="00293BE6">
      <w:pPr>
        <w:pStyle w:val="ListParagraph"/>
        <w:numPr>
          <w:ilvl w:val="1"/>
          <w:numId w:val="14"/>
        </w:numPr>
        <w:rPr>
          <w:rFonts w:cs="Arial"/>
        </w:rPr>
      </w:pPr>
      <w:r w:rsidRPr="0050011A">
        <w:rPr>
          <w:rFonts w:cs="Arial"/>
        </w:rPr>
        <w:t xml:space="preserve">private companies, consultancies, and any </w:t>
      </w:r>
      <w:r w:rsidR="00A73D99">
        <w:rPr>
          <w:rFonts w:cs="Arial"/>
        </w:rPr>
        <w:t>organisation</w:t>
      </w:r>
      <w:r w:rsidRPr="0050011A">
        <w:rPr>
          <w:rFonts w:cs="Arial"/>
        </w:rPr>
        <w:t xml:space="preserve"> whose primary purpose is commercial. These requesters carry the highest baseline ethical risk profile when accessing sensitive data. This is not a presumption of bad faith, it is a recognition that commercial incentives can create pressure to use data in ways that were not originally </w:t>
      </w:r>
      <w:r w:rsidR="00A73D99">
        <w:rPr>
          <w:rFonts w:cs="Arial"/>
        </w:rPr>
        <w:t>authorised</w:t>
      </w:r>
      <w:r w:rsidRPr="0050011A">
        <w:rPr>
          <w:rFonts w:cs="Arial"/>
        </w:rPr>
        <w:t>, and that the potential consequences of misuse are amplified when commercial value is attached to the data. Requests from commercial actors are subject to enhanced scrutiny and additional conditions as a baseline requirement, not as an exception.</w:t>
      </w:r>
    </w:p>
    <w:p w14:paraId="567B2891" w14:textId="0ADD4E38" w:rsidR="004749FB" w:rsidRPr="0050011A" w:rsidRDefault="00CE1422" w:rsidP="004B098D">
      <w:pPr>
        <w:rPr>
          <w:rFonts w:cs="Arial"/>
        </w:rPr>
      </w:pPr>
      <w:r w:rsidRPr="0050011A">
        <w:rPr>
          <w:rFonts w:cs="Arial"/>
        </w:rPr>
        <w:lastRenderedPageBreak/>
        <w:t>The requester profile does not determine the outcome of a request. A commercial actor can be granted access; a public institution can be denied. The profile determines the level of scrutiny applied and the conditions that must be met for approval.</w:t>
      </w:r>
    </w:p>
    <w:p w14:paraId="37CD034F" w14:textId="22261028" w:rsidR="00404CCF" w:rsidRPr="0050011A" w:rsidRDefault="00404CCF" w:rsidP="00404CCF">
      <w:pPr>
        <w:pStyle w:val="Heading3"/>
        <w:rPr>
          <w:rFonts w:cs="Arial"/>
        </w:rPr>
      </w:pPr>
      <w:bookmarkStart w:id="74" w:name="_Toc607774452"/>
      <w:r w:rsidRPr="54AD4DA9">
        <w:rPr>
          <w:rFonts w:cs="Arial"/>
        </w:rPr>
        <w:t>5.4.3 Approval Criteria</w:t>
      </w:r>
      <w:bookmarkEnd w:id="74"/>
    </w:p>
    <w:p w14:paraId="479625B1" w14:textId="77777777" w:rsidR="004749FB" w:rsidRPr="0050011A" w:rsidRDefault="004749FB" w:rsidP="004749FB">
      <w:pPr>
        <w:rPr>
          <w:rFonts w:cs="Arial"/>
        </w:rPr>
      </w:pPr>
      <w:r w:rsidRPr="0050011A">
        <w:rPr>
          <w:rFonts w:cs="Arial"/>
        </w:rPr>
        <w:t>A request for restricted data access may be approved only when all of the following criteria are satisfied:</w:t>
      </w:r>
    </w:p>
    <w:p w14:paraId="367DE2A3" w14:textId="600E4741" w:rsidR="004749FB" w:rsidRPr="0050011A" w:rsidRDefault="004749FB" w:rsidP="004749FB">
      <w:pPr>
        <w:pStyle w:val="ListParagraph"/>
        <w:numPr>
          <w:ilvl w:val="0"/>
          <w:numId w:val="16"/>
        </w:numPr>
        <w:rPr>
          <w:rFonts w:cs="Arial"/>
        </w:rPr>
      </w:pPr>
      <w:r w:rsidRPr="0050011A">
        <w:rPr>
          <w:rFonts w:cs="Arial"/>
        </w:rPr>
        <w:t>The stated purpose is specific, legitimate, and compatible with the conditions under which the data was originally collected and shared.</w:t>
      </w:r>
    </w:p>
    <w:p w14:paraId="3D8E5498" w14:textId="42F7F99B" w:rsidR="004749FB" w:rsidRPr="0050011A" w:rsidRDefault="004749FB" w:rsidP="004749FB">
      <w:pPr>
        <w:pStyle w:val="ListParagraph"/>
        <w:numPr>
          <w:ilvl w:val="0"/>
          <w:numId w:val="16"/>
        </w:numPr>
        <w:rPr>
          <w:rFonts w:cs="Arial"/>
        </w:rPr>
      </w:pPr>
      <w:r w:rsidRPr="0050011A">
        <w:rPr>
          <w:rFonts w:cs="Arial"/>
        </w:rPr>
        <w:t>The scope of the access requested is no broader than what the stated purpose requires. Requests for access to entire datasets when only specific variables are needed will not be approved in their full form</w:t>
      </w:r>
      <w:r w:rsidR="001A5029" w:rsidRPr="0050011A">
        <w:rPr>
          <w:rFonts w:cs="Arial"/>
        </w:rPr>
        <w:t>.</w:t>
      </w:r>
    </w:p>
    <w:p w14:paraId="41B2DCB5" w14:textId="5CA891E3" w:rsidR="001A5029" w:rsidRPr="0050011A" w:rsidRDefault="001A5029" w:rsidP="004749FB">
      <w:pPr>
        <w:pStyle w:val="ListParagraph"/>
        <w:numPr>
          <w:ilvl w:val="0"/>
          <w:numId w:val="16"/>
        </w:numPr>
        <w:rPr>
          <w:rFonts w:cs="Arial"/>
        </w:rPr>
      </w:pPr>
      <w:r w:rsidRPr="0050011A">
        <w:rPr>
          <w:rFonts w:cs="Arial"/>
        </w:rPr>
        <w:t xml:space="preserve">The requester has demonstrated </w:t>
      </w:r>
      <w:r w:rsidR="00B03146" w:rsidRPr="0050011A">
        <w:rPr>
          <w:rFonts w:cs="Arial"/>
        </w:rPr>
        <w:t xml:space="preserve">decent </w:t>
      </w:r>
      <w:r w:rsidR="003277F9" w:rsidRPr="0050011A">
        <w:rPr>
          <w:rFonts w:cs="Arial"/>
        </w:rPr>
        <w:t xml:space="preserve">technical and </w:t>
      </w:r>
      <w:r w:rsidR="00A73D99">
        <w:rPr>
          <w:rFonts w:cs="Arial"/>
        </w:rPr>
        <w:t>organisational</w:t>
      </w:r>
      <w:r w:rsidR="003277F9" w:rsidRPr="0050011A">
        <w:rPr>
          <w:rFonts w:cs="Arial"/>
        </w:rPr>
        <w:t xml:space="preserve"> measures to protect the data, </w:t>
      </w:r>
      <w:r w:rsidR="00990A69" w:rsidRPr="0050011A">
        <w:rPr>
          <w:rFonts w:cs="Arial"/>
        </w:rPr>
        <w:t>corresponding to its sensitivity.</w:t>
      </w:r>
    </w:p>
    <w:p w14:paraId="40BC2A40" w14:textId="5A44AAB9" w:rsidR="006375C2" w:rsidRPr="0050011A" w:rsidRDefault="006375C2" w:rsidP="006375C2">
      <w:pPr>
        <w:pStyle w:val="ListParagraph"/>
        <w:numPr>
          <w:ilvl w:val="0"/>
          <w:numId w:val="16"/>
        </w:numPr>
        <w:rPr>
          <w:rFonts w:cs="Arial"/>
        </w:rPr>
      </w:pPr>
      <w:r w:rsidRPr="0050011A">
        <w:rPr>
          <w:rFonts w:cs="Arial"/>
        </w:rPr>
        <w:t xml:space="preserve">A valid legal basis under GDPR has been identified and is appropriate for the stated purpose. </w:t>
      </w:r>
    </w:p>
    <w:p w14:paraId="0DADB783" w14:textId="75280E7C" w:rsidR="006375C2" w:rsidRPr="0050011A" w:rsidRDefault="006375C2" w:rsidP="006375C2">
      <w:pPr>
        <w:pStyle w:val="ListParagraph"/>
        <w:numPr>
          <w:ilvl w:val="0"/>
          <w:numId w:val="16"/>
        </w:numPr>
        <w:rPr>
          <w:rFonts w:cs="Arial"/>
        </w:rPr>
      </w:pPr>
      <w:r w:rsidRPr="0050011A">
        <w:rPr>
          <w:rFonts w:cs="Arial"/>
        </w:rPr>
        <w:t xml:space="preserve">For commercial requesters, the request includes a clear and verifiable statement of how the commercial use of outputs derived from the data will be governed, and confirms that the data itself will not be </w:t>
      </w:r>
      <w:r w:rsidR="00A73D99">
        <w:rPr>
          <w:rFonts w:cs="Arial"/>
        </w:rPr>
        <w:t>commercialised</w:t>
      </w:r>
      <w:r w:rsidRPr="0050011A">
        <w:rPr>
          <w:rFonts w:cs="Arial"/>
        </w:rPr>
        <w:t xml:space="preserve">. </w:t>
      </w:r>
    </w:p>
    <w:p w14:paraId="5A9EAE5C" w14:textId="21FC8F20" w:rsidR="00990A69" w:rsidRPr="0050011A" w:rsidRDefault="006375C2" w:rsidP="006375C2">
      <w:pPr>
        <w:pStyle w:val="ListParagraph"/>
        <w:numPr>
          <w:ilvl w:val="0"/>
          <w:numId w:val="16"/>
        </w:numPr>
        <w:rPr>
          <w:rFonts w:cs="Arial"/>
        </w:rPr>
      </w:pPr>
      <w:r w:rsidRPr="0050011A">
        <w:rPr>
          <w:rFonts w:cs="Arial"/>
        </w:rPr>
        <w:t>The Coordinating Entity has no reason to believe that the stated purpose misrepresents the requester's actual intentions.</w:t>
      </w:r>
    </w:p>
    <w:p w14:paraId="206221AE" w14:textId="77777777" w:rsidR="004749FB" w:rsidRPr="0050011A" w:rsidRDefault="004749FB" w:rsidP="004749FB">
      <w:pPr>
        <w:rPr>
          <w:rFonts w:cs="Arial"/>
        </w:rPr>
      </w:pPr>
      <w:r w:rsidRPr="0050011A">
        <w:rPr>
          <w:rFonts w:cs="Arial"/>
        </w:rPr>
        <w:t>For requests assessed under the commercial actor profile, two additional criteria apply: an independent review of the purpose statement by a member of the Governance Authority, and a formal assessment of whether the societal value of the proposed use is sufficient to justify the elevated risk.</w:t>
      </w:r>
    </w:p>
    <w:p w14:paraId="13913A66" w14:textId="6A250525" w:rsidR="00404CCF" w:rsidRPr="0050011A" w:rsidRDefault="006375C2" w:rsidP="006375C2">
      <w:pPr>
        <w:pStyle w:val="Heading3"/>
        <w:rPr>
          <w:rFonts w:cs="Arial"/>
        </w:rPr>
      </w:pPr>
      <w:bookmarkStart w:id="75" w:name="_Toc137270397"/>
      <w:r w:rsidRPr="54AD4DA9">
        <w:rPr>
          <w:rFonts w:cs="Arial"/>
        </w:rPr>
        <w:t>5.4.4 Conditions Attached to Access</w:t>
      </w:r>
      <w:bookmarkEnd w:id="75"/>
    </w:p>
    <w:p w14:paraId="59D149C4" w14:textId="77777777" w:rsidR="00467FE4" w:rsidRPr="0050011A" w:rsidRDefault="00467FE4" w:rsidP="00467FE4">
      <w:pPr>
        <w:rPr>
          <w:rFonts w:cs="Arial"/>
        </w:rPr>
      </w:pPr>
      <w:r w:rsidRPr="0050011A">
        <w:rPr>
          <w:rFonts w:cs="Arial"/>
        </w:rPr>
        <w:t>Approval of a restricted data access request is always conditional. Access is not granted in full and without restriction — it is granted for a defined purpose, a defined period, and subject to conditions that the requester must formally accept before access is enabled.</w:t>
      </w:r>
    </w:p>
    <w:p w14:paraId="4D07BF17" w14:textId="77777777" w:rsidR="00467FE4" w:rsidRPr="0050011A" w:rsidRDefault="00467FE4" w:rsidP="00467FE4">
      <w:pPr>
        <w:rPr>
          <w:rFonts w:cs="Arial"/>
        </w:rPr>
      </w:pPr>
      <w:r w:rsidRPr="0050011A">
        <w:rPr>
          <w:rFonts w:cs="Arial"/>
        </w:rPr>
        <w:t>Standard conditions attached to all approved access requests include:</w:t>
      </w:r>
    </w:p>
    <w:p w14:paraId="5781A84C" w14:textId="3A13F7AA" w:rsidR="00532164" w:rsidRPr="0050011A" w:rsidRDefault="00532164" w:rsidP="00532164">
      <w:pPr>
        <w:pStyle w:val="ListParagraph"/>
        <w:numPr>
          <w:ilvl w:val="0"/>
          <w:numId w:val="18"/>
        </w:numPr>
        <w:rPr>
          <w:rFonts w:cs="Arial"/>
        </w:rPr>
      </w:pPr>
      <w:r w:rsidRPr="0050011A">
        <w:rPr>
          <w:rFonts w:cs="Arial"/>
        </w:rPr>
        <w:t xml:space="preserve">Access is limited to the specific </w:t>
      </w:r>
      <w:r w:rsidR="00E52D34" w:rsidRPr="0050011A">
        <w:rPr>
          <w:rFonts w:cs="Arial"/>
        </w:rPr>
        <w:t>data set</w:t>
      </w:r>
      <w:r w:rsidRPr="0050011A">
        <w:rPr>
          <w:rFonts w:cs="Arial"/>
        </w:rPr>
        <w:t xml:space="preserve">, variables, and time stated in the approved request. Any expansion of scope requires a new request. </w:t>
      </w:r>
    </w:p>
    <w:p w14:paraId="242257E2" w14:textId="7C71C067" w:rsidR="00532164" w:rsidRPr="0050011A" w:rsidRDefault="00532164" w:rsidP="00532164">
      <w:pPr>
        <w:pStyle w:val="ListParagraph"/>
        <w:numPr>
          <w:ilvl w:val="0"/>
          <w:numId w:val="18"/>
        </w:numPr>
        <w:rPr>
          <w:rFonts w:cs="Arial"/>
        </w:rPr>
      </w:pPr>
      <w:r w:rsidRPr="0050011A">
        <w:rPr>
          <w:rFonts w:cs="Arial"/>
        </w:rPr>
        <w:t xml:space="preserve">The data may not be shared with third parties unless this was explicitly included in the approved request and accepted as a condition of approval. </w:t>
      </w:r>
    </w:p>
    <w:p w14:paraId="54923EA2" w14:textId="3D6ED677" w:rsidR="00532164" w:rsidRPr="0050011A" w:rsidRDefault="00532164" w:rsidP="00532164">
      <w:pPr>
        <w:pStyle w:val="ListParagraph"/>
        <w:numPr>
          <w:ilvl w:val="0"/>
          <w:numId w:val="18"/>
        </w:numPr>
        <w:rPr>
          <w:rFonts w:cs="Arial"/>
        </w:rPr>
      </w:pPr>
      <w:r w:rsidRPr="0050011A">
        <w:rPr>
          <w:rFonts w:cs="Arial"/>
        </w:rPr>
        <w:t xml:space="preserve">The requester must notify the Coordinating Entity immediately if the data is accessed, processed, or stored in a way that was not anticipated in the original request. </w:t>
      </w:r>
    </w:p>
    <w:p w14:paraId="0979BC46" w14:textId="5F660358" w:rsidR="00532164" w:rsidRPr="0050011A" w:rsidRDefault="00532164" w:rsidP="00532164">
      <w:pPr>
        <w:pStyle w:val="ListParagraph"/>
        <w:numPr>
          <w:ilvl w:val="0"/>
          <w:numId w:val="18"/>
        </w:numPr>
        <w:rPr>
          <w:rFonts w:cs="Arial"/>
        </w:rPr>
      </w:pPr>
      <w:r w:rsidRPr="0050011A">
        <w:rPr>
          <w:rFonts w:cs="Arial"/>
        </w:rPr>
        <w:t xml:space="preserve">At the end of the approved access period, the requester must confirm in writing that the data has been deleted or returned, and must provide a brief account of how it was used. </w:t>
      </w:r>
    </w:p>
    <w:p w14:paraId="3FDFD946" w14:textId="4C884415" w:rsidR="00467FE4" w:rsidRPr="0050011A" w:rsidRDefault="00532164" w:rsidP="00532164">
      <w:pPr>
        <w:pStyle w:val="ListParagraph"/>
        <w:numPr>
          <w:ilvl w:val="0"/>
          <w:numId w:val="18"/>
        </w:numPr>
        <w:rPr>
          <w:rFonts w:cs="Arial"/>
        </w:rPr>
      </w:pPr>
      <w:r w:rsidRPr="0050011A">
        <w:rPr>
          <w:rFonts w:cs="Arial"/>
        </w:rPr>
        <w:t>The requester consents to the possibility of a spot audit during the access period to verify compliance with the stated conditions.</w:t>
      </w:r>
    </w:p>
    <w:p w14:paraId="36D7097C" w14:textId="77777777" w:rsidR="00467FE4" w:rsidRPr="0050011A" w:rsidRDefault="00467FE4" w:rsidP="00467FE4">
      <w:pPr>
        <w:rPr>
          <w:rFonts w:cs="Arial"/>
        </w:rPr>
      </w:pPr>
      <w:r w:rsidRPr="0050011A">
        <w:rPr>
          <w:rFonts w:cs="Arial"/>
        </w:rPr>
        <w:t>For academic and research requesters, an additional condition applies: any publication or output derived from the data must be notified to the Coordinating Entity before release, to allow a review of whether the output risks enabling re-identification or misuse.</w:t>
      </w:r>
    </w:p>
    <w:p w14:paraId="72939E3B" w14:textId="77777777" w:rsidR="00467FE4" w:rsidRPr="0050011A" w:rsidRDefault="00467FE4" w:rsidP="00467FE4">
      <w:pPr>
        <w:rPr>
          <w:rFonts w:cs="Arial"/>
        </w:rPr>
      </w:pPr>
      <w:r w:rsidRPr="0050011A">
        <w:rPr>
          <w:rFonts w:cs="Arial"/>
        </w:rPr>
        <w:t>For commercial requesters, enhanced conditions apply as standard: mandatory logging of all data access events, a mid-period compliance check conducted by the Coordinating Entity, and a post-access review assessing whether the use remained within the approved scope.</w:t>
      </w:r>
    </w:p>
    <w:p w14:paraId="5F92AE85" w14:textId="2671ABBF" w:rsidR="00467FE4" w:rsidRPr="0050011A" w:rsidRDefault="00E52D34" w:rsidP="00E52D34">
      <w:pPr>
        <w:pStyle w:val="Heading3"/>
        <w:rPr>
          <w:rFonts w:cs="Arial"/>
        </w:rPr>
      </w:pPr>
      <w:bookmarkStart w:id="76" w:name="_Toc1441603623"/>
      <w:r w:rsidRPr="54AD4DA9">
        <w:rPr>
          <w:rFonts w:cs="Arial"/>
        </w:rPr>
        <w:lastRenderedPageBreak/>
        <w:t>5.4.5 Grounds for Denial</w:t>
      </w:r>
      <w:bookmarkEnd w:id="76"/>
    </w:p>
    <w:p w14:paraId="1627732A" w14:textId="77777777" w:rsidR="009169B6" w:rsidRPr="0050011A" w:rsidRDefault="009169B6" w:rsidP="009169B6">
      <w:pPr>
        <w:rPr>
          <w:rFonts w:cs="Arial"/>
        </w:rPr>
      </w:pPr>
      <w:r w:rsidRPr="0050011A">
        <w:rPr>
          <w:rFonts w:cs="Arial"/>
        </w:rPr>
        <w:t>A request may be denied on any of the following grounds:</w:t>
      </w:r>
    </w:p>
    <w:p w14:paraId="31200105" w14:textId="72018832" w:rsidR="00DD3260" w:rsidRPr="0050011A" w:rsidRDefault="00DD3260" w:rsidP="00DD3260">
      <w:pPr>
        <w:pStyle w:val="ListParagraph"/>
        <w:numPr>
          <w:ilvl w:val="0"/>
          <w:numId w:val="20"/>
        </w:numPr>
        <w:rPr>
          <w:rFonts w:cs="Arial"/>
        </w:rPr>
      </w:pPr>
      <w:r w:rsidRPr="0050011A">
        <w:rPr>
          <w:rFonts w:cs="Arial"/>
        </w:rPr>
        <w:t xml:space="preserve">The stated purpose is incompatible with the conditions under which the data was originally collected or shared. </w:t>
      </w:r>
    </w:p>
    <w:p w14:paraId="33D3EE90" w14:textId="58A265E7" w:rsidR="00DD3260" w:rsidRPr="0050011A" w:rsidRDefault="00DD3260" w:rsidP="00DD3260">
      <w:pPr>
        <w:pStyle w:val="ListParagraph"/>
        <w:numPr>
          <w:ilvl w:val="0"/>
          <w:numId w:val="20"/>
        </w:numPr>
        <w:rPr>
          <w:rFonts w:cs="Arial"/>
        </w:rPr>
      </w:pPr>
      <w:r w:rsidRPr="0050011A">
        <w:rPr>
          <w:rFonts w:cs="Arial"/>
        </w:rPr>
        <w:t xml:space="preserve">The request does not identify a valid legal basis under GDPR, or the identified basis is not appropriate for the stated purpose. </w:t>
      </w:r>
    </w:p>
    <w:p w14:paraId="6473EAAB" w14:textId="27ED84C9" w:rsidR="00DD3260" w:rsidRPr="0050011A" w:rsidRDefault="00DD3260" w:rsidP="00DD3260">
      <w:pPr>
        <w:pStyle w:val="ListParagraph"/>
        <w:numPr>
          <w:ilvl w:val="0"/>
          <w:numId w:val="20"/>
        </w:numPr>
        <w:rPr>
          <w:rFonts w:cs="Arial"/>
        </w:rPr>
      </w:pPr>
      <w:r w:rsidRPr="0050011A">
        <w:rPr>
          <w:rFonts w:cs="Arial"/>
        </w:rPr>
        <w:t xml:space="preserve">The scope of access requested is disproportionate to what the stated purpose requires, and the requester has declined to narrow the request. </w:t>
      </w:r>
    </w:p>
    <w:p w14:paraId="4DFE9297" w14:textId="4C0D3073" w:rsidR="00DD3260" w:rsidRPr="0050011A" w:rsidRDefault="00DD3260" w:rsidP="00DD3260">
      <w:pPr>
        <w:pStyle w:val="ListParagraph"/>
        <w:numPr>
          <w:ilvl w:val="0"/>
          <w:numId w:val="20"/>
        </w:numPr>
        <w:rPr>
          <w:rFonts w:cs="Arial"/>
        </w:rPr>
      </w:pPr>
      <w:r w:rsidRPr="0050011A">
        <w:rPr>
          <w:rFonts w:cs="Arial"/>
        </w:rPr>
        <w:t xml:space="preserve">The requester cannot demonstrate adequate data protection measures proportionate to the sensitivity of the data. </w:t>
      </w:r>
    </w:p>
    <w:p w14:paraId="3A4A76FC" w14:textId="2F7D011C" w:rsidR="00DD3260" w:rsidRPr="0050011A" w:rsidRDefault="00DD3260" w:rsidP="00DD3260">
      <w:pPr>
        <w:pStyle w:val="ListParagraph"/>
        <w:numPr>
          <w:ilvl w:val="0"/>
          <w:numId w:val="20"/>
        </w:numPr>
        <w:rPr>
          <w:rFonts w:cs="Arial"/>
        </w:rPr>
      </w:pPr>
      <w:r w:rsidRPr="0050011A">
        <w:rPr>
          <w:rFonts w:cs="Arial"/>
        </w:rPr>
        <w:t xml:space="preserve">There are reasonable grounds to believe that the stated purpose does not accurately represent the requester's intended use. </w:t>
      </w:r>
    </w:p>
    <w:p w14:paraId="55C36A00" w14:textId="2671040B" w:rsidR="00DD3260" w:rsidRPr="0050011A" w:rsidRDefault="00DD3260" w:rsidP="00DD3260">
      <w:pPr>
        <w:pStyle w:val="ListParagraph"/>
        <w:numPr>
          <w:ilvl w:val="0"/>
          <w:numId w:val="20"/>
        </w:numPr>
        <w:rPr>
          <w:rFonts w:cs="Arial"/>
        </w:rPr>
      </w:pPr>
      <w:r w:rsidRPr="0050011A">
        <w:rPr>
          <w:rFonts w:cs="Arial"/>
        </w:rPr>
        <w:t xml:space="preserve">The request involves a commercial actor seeking access to sensitive data for a purpose whose societal value cannot be established. </w:t>
      </w:r>
    </w:p>
    <w:p w14:paraId="16E8F9F7" w14:textId="2571E0E7" w:rsidR="009169B6" w:rsidRPr="0050011A" w:rsidRDefault="00DD3260" w:rsidP="00DD3260">
      <w:pPr>
        <w:pStyle w:val="ListParagraph"/>
        <w:numPr>
          <w:ilvl w:val="0"/>
          <w:numId w:val="20"/>
        </w:numPr>
        <w:rPr>
          <w:rFonts w:cs="Arial"/>
        </w:rPr>
      </w:pPr>
      <w:r w:rsidRPr="0050011A">
        <w:rPr>
          <w:rFonts w:cs="Arial"/>
        </w:rPr>
        <w:t>The requester has previously violated the conditions of an earlier access approval and has not completed a formal remediation process.</w:t>
      </w:r>
    </w:p>
    <w:p w14:paraId="455C869E" w14:textId="3237A307" w:rsidR="009169B6" w:rsidRPr="0050011A" w:rsidRDefault="009169B6" w:rsidP="009169B6">
      <w:pPr>
        <w:rPr>
          <w:rFonts w:cs="Arial"/>
        </w:rPr>
      </w:pPr>
      <w:r w:rsidRPr="0050011A">
        <w:rPr>
          <w:rFonts w:cs="Arial"/>
        </w:rPr>
        <w:t>Every denial must be issued in writing, must identify the specific ground or grounds on which it is based, and must indicate whether the denial is absolute or whether the request could be resubmitted with modifications</w:t>
      </w:r>
    </w:p>
    <w:p w14:paraId="4C002FC4" w14:textId="2E5E7D68" w:rsidR="00E52D34" w:rsidRPr="0050011A" w:rsidRDefault="00DD3260" w:rsidP="00DD3260">
      <w:pPr>
        <w:pStyle w:val="Heading3"/>
        <w:rPr>
          <w:rFonts w:cs="Arial"/>
        </w:rPr>
      </w:pPr>
      <w:bookmarkStart w:id="77" w:name="_Toc1571009319"/>
      <w:r w:rsidRPr="54AD4DA9">
        <w:rPr>
          <w:rFonts w:cs="Arial"/>
        </w:rPr>
        <w:t>5.4.6 Appeals Process</w:t>
      </w:r>
      <w:bookmarkEnd w:id="77"/>
    </w:p>
    <w:p w14:paraId="4DB806CD" w14:textId="77777777" w:rsidR="00474303" w:rsidRPr="0050011A" w:rsidRDefault="00474303" w:rsidP="00474303">
      <w:pPr>
        <w:rPr>
          <w:rFonts w:cs="Arial"/>
        </w:rPr>
      </w:pPr>
      <w:r w:rsidRPr="0050011A">
        <w:rPr>
          <w:rFonts w:cs="Arial"/>
        </w:rPr>
        <w:t>A requester who believes their request has been incorrectly denied has the right to appeal. The appeals process exists not as a formality but as a structural safeguard against inconsistent or unjustified decision-making. It also serves as a check on the Coordinating Entity, ensuring that denial decisions are subject to independent review.</w:t>
      </w:r>
    </w:p>
    <w:p w14:paraId="27E9B73F" w14:textId="77777777" w:rsidR="00474303" w:rsidRPr="0050011A" w:rsidRDefault="00474303" w:rsidP="00474303">
      <w:pPr>
        <w:rPr>
          <w:rFonts w:cs="Arial"/>
        </w:rPr>
      </w:pPr>
      <w:r w:rsidRPr="0050011A">
        <w:rPr>
          <w:rFonts w:cs="Arial"/>
        </w:rPr>
        <w:t>The process is as follows:</w:t>
      </w:r>
    </w:p>
    <w:p w14:paraId="1335EEB6" w14:textId="3A5C803E" w:rsidR="007B2F6C" w:rsidRPr="0050011A" w:rsidRDefault="007B2F6C" w:rsidP="007B2F6C">
      <w:pPr>
        <w:pStyle w:val="ListParagraph"/>
        <w:numPr>
          <w:ilvl w:val="0"/>
          <w:numId w:val="22"/>
        </w:numPr>
        <w:rPr>
          <w:rFonts w:cs="Arial"/>
        </w:rPr>
      </w:pPr>
      <w:r w:rsidRPr="0050011A">
        <w:rPr>
          <w:rFonts w:cs="Arial"/>
        </w:rPr>
        <w:t xml:space="preserve">An appeal must be submitted in writing to the Governance Authority within twenty working days of receiving the denial notice. </w:t>
      </w:r>
    </w:p>
    <w:p w14:paraId="171372E5" w14:textId="35B3E37D" w:rsidR="007B2F6C" w:rsidRPr="0050011A" w:rsidRDefault="007B2F6C" w:rsidP="007B2F6C">
      <w:pPr>
        <w:pStyle w:val="ListParagraph"/>
        <w:numPr>
          <w:ilvl w:val="0"/>
          <w:numId w:val="22"/>
        </w:numPr>
        <w:rPr>
          <w:rFonts w:cs="Arial"/>
        </w:rPr>
      </w:pPr>
      <w:r w:rsidRPr="0050011A">
        <w:rPr>
          <w:rFonts w:cs="Arial"/>
        </w:rPr>
        <w:t xml:space="preserve">The appeal must state clearly which ground of denial is being contested and why the requester believes the denial was incorrect or disproportionate. </w:t>
      </w:r>
    </w:p>
    <w:p w14:paraId="602B6633" w14:textId="02077109" w:rsidR="007B2F6C" w:rsidRPr="0050011A" w:rsidRDefault="007B2F6C" w:rsidP="007B2F6C">
      <w:pPr>
        <w:pStyle w:val="ListParagraph"/>
        <w:numPr>
          <w:ilvl w:val="0"/>
          <w:numId w:val="22"/>
        </w:numPr>
        <w:rPr>
          <w:rFonts w:cs="Arial"/>
        </w:rPr>
      </w:pPr>
      <w:r w:rsidRPr="0050011A">
        <w:rPr>
          <w:rFonts w:cs="Arial"/>
        </w:rPr>
        <w:t xml:space="preserve">The Governance Authority will appoint a review panel that does not include any member who was involved in the original decision. </w:t>
      </w:r>
    </w:p>
    <w:p w14:paraId="7BFC9667" w14:textId="78E7FE7B" w:rsidR="007B2F6C" w:rsidRPr="0050011A" w:rsidRDefault="007B2F6C" w:rsidP="007B2F6C">
      <w:pPr>
        <w:pStyle w:val="ListParagraph"/>
        <w:numPr>
          <w:ilvl w:val="0"/>
          <w:numId w:val="22"/>
        </w:numPr>
        <w:rPr>
          <w:rFonts w:cs="Arial"/>
        </w:rPr>
      </w:pPr>
      <w:r w:rsidRPr="0050011A">
        <w:rPr>
          <w:rFonts w:cs="Arial"/>
        </w:rPr>
        <w:t xml:space="preserve">The review panel will consider the original request, the denial notice, and the appeal submission. It may request additional information from either the requester or the Coordinating Entity. </w:t>
      </w:r>
    </w:p>
    <w:p w14:paraId="2422F27E" w14:textId="78599CC1" w:rsidR="007B2F6C" w:rsidRPr="0050011A" w:rsidRDefault="007B2F6C" w:rsidP="007B2F6C">
      <w:pPr>
        <w:pStyle w:val="ListParagraph"/>
        <w:numPr>
          <w:ilvl w:val="0"/>
          <w:numId w:val="22"/>
        </w:numPr>
        <w:rPr>
          <w:rFonts w:cs="Arial"/>
        </w:rPr>
      </w:pPr>
      <w:r w:rsidRPr="0050011A">
        <w:rPr>
          <w:rFonts w:cs="Arial"/>
        </w:rPr>
        <w:t xml:space="preserve">The review panel will issue a written decision within thirty working days of receiving the appeal. </w:t>
      </w:r>
    </w:p>
    <w:p w14:paraId="6BBD9606" w14:textId="3FBAC1D9" w:rsidR="007B2F6C" w:rsidRPr="0050011A" w:rsidRDefault="007B2F6C" w:rsidP="007B2F6C">
      <w:pPr>
        <w:pStyle w:val="ListParagraph"/>
        <w:numPr>
          <w:ilvl w:val="0"/>
          <w:numId w:val="22"/>
        </w:numPr>
        <w:rPr>
          <w:rFonts w:cs="Arial"/>
        </w:rPr>
      </w:pPr>
      <w:r w:rsidRPr="0050011A">
        <w:rPr>
          <w:rFonts w:cs="Arial"/>
        </w:rPr>
        <w:t xml:space="preserve">The review panel may uphold the denial, overturn it and instruct the Coordinating Entity to approve the request, or approve the request subject to modified conditions. </w:t>
      </w:r>
    </w:p>
    <w:p w14:paraId="7A1DC60D" w14:textId="31BB19FA" w:rsidR="00474303" w:rsidRPr="0050011A" w:rsidRDefault="007B2F6C" w:rsidP="007B2F6C">
      <w:pPr>
        <w:pStyle w:val="ListParagraph"/>
        <w:numPr>
          <w:ilvl w:val="0"/>
          <w:numId w:val="22"/>
        </w:numPr>
        <w:rPr>
          <w:rFonts w:cs="Arial"/>
        </w:rPr>
      </w:pPr>
      <w:r w:rsidRPr="0050011A">
        <w:rPr>
          <w:rFonts w:cs="Arial"/>
        </w:rPr>
        <w:t xml:space="preserve">The decision of the review panel is final within the dataspace's governance structure. Requesters retain the right to seek </w:t>
      </w:r>
      <w:r w:rsidR="003E2A29">
        <w:rPr>
          <w:rFonts w:cs="Arial"/>
        </w:rPr>
        <w:t xml:space="preserve">an </w:t>
      </w:r>
      <w:r w:rsidRPr="0050011A">
        <w:rPr>
          <w:rFonts w:cs="Arial"/>
        </w:rPr>
        <w:t>external remedy through the relevant supervisory authority.</w:t>
      </w:r>
    </w:p>
    <w:p w14:paraId="50D039AE" w14:textId="77777777" w:rsidR="00474303" w:rsidRPr="0050011A" w:rsidRDefault="00474303" w:rsidP="00474303">
      <w:pPr>
        <w:rPr>
          <w:rFonts w:cs="Arial"/>
        </w:rPr>
      </w:pPr>
      <w:r w:rsidRPr="0050011A">
        <w:rPr>
          <w:rFonts w:cs="Arial"/>
        </w:rPr>
        <w:t>The outcome of every appeal, including the reasoning of the review panel, must be recorded and made available in summary form to all dataspace participants as part of the governance transparency record. This ensures that appeal decisions contribute to a shared understanding of how access criteria are applied in practice, and prevents the emergence of inconsistent precedents.</w:t>
      </w:r>
    </w:p>
    <w:p w14:paraId="15811615" w14:textId="77777777" w:rsidR="00DD3260" w:rsidRPr="0050011A" w:rsidRDefault="00DD3260" w:rsidP="00DD3260">
      <w:pPr>
        <w:rPr>
          <w:rFonts w:cs="Arial"/>
        </w:rPr>
      </w:pPr>
    </w:p>
    <w:p w14:paraId="1B0A517C" w14:textId="4BB7B0F2" w:rsidR="0079393A" w:rsidRPr="0050011A" w:rsidRDefault="0079393A" w:rsidP="0079393A">
      <w:pPr>
        <w:pStyle w:val="Heading2"/>
        <w:rPr>
          <w:rFonts w:cs="Arial"/>
        </w:rPr>
      </w:pPr>
      <w:bookmarkStart w:id="78" w:name="_Toc230347192"/>
      <w:bookmarkStart w:id="79" w:name="_Toc1745744983"/>
      <w:r w:rsidRPr="54AD4DA9">
        <w:rPr>
          <w:rFonts w:cs="Arial"/>
        </w:rPr>
        <w:lastRenderedPageBreak/>
        <w:t>5.</w:t>
      </w:r>
      <w:r w:rsidR="00AF6701" w:rsidRPr="54AD4DA9">
        <w:rPr>
          <w:rFonts w:cs="Arial"/>
        </w:rPr>
        <w:t>5</w:t>
      </w:r>
      <w:r w:rsidRPr="54AD4DA9">
        <w:rPr>
          <w:rFonts w:cs="Arial"/>
        </w:rPr>
        <w:t xml:space="preserve"> Onboarding Procedures</w:t>
      </w:r>
      <w:bookmarkEnd w:id="78"/>
      <w:bookmarkEnd w:id="79"/>
    </w:p>
    <w:p w14:paraId="343AF719" w14:textId="79D155D6" w:rsidR="700CBDBA" w:rsidRDefault="700CBDBA" w:rsidP="7082A959">
      <w:pPr>
        <w:rPr>
          <w:rFonts w:eastAsia="Arial" w:cs="Arial"/>
        </w:rPr>
      </w:pPr>
      <w:r w:rsidRPr="7082A959">
        <w:rPr>
          <w:rFonts w:eastAsia="Arial" w:cs="Arial"/>
          <w:sz w:val="24"/>
        </w:rPr>
        <w:t xml:space="preserve">Onboarding a new participant into the Inzicht Verlicht dataspace is not a purely administrative procedure. It is the moment at which governance obligations become real and enforceable. Before a participant can access any data, they must demonstrate that they understand and accept the ethical and legal conditions of the dataspace. </w:t>
      </w:r>
      <w:r w:rsidR="7556ADD6" w:rsidRPr="7082A959">
        <w:rPr>
          <w:rFonts w:eastAsia="Arial" w:cs="Arial"/>
          <w:sz w:val="24"/>
        </w:rPr>
        <w:t xml:space="preserve">The onboarding process has been developed by </w:t>
      </w:r>
      <w:r w:rsidR="6244C502" w:rsidRPr="7082A959">
        <w:rPr>
          <w:rFonts w:eastAsia="Arial" w:cs="Arial"/>
          <w:sz w:val="24"/>
        </w:rPr>
        <w:t>Nafi Ahmad Rohman</w:t>
      </w:r>
      <w:r w:rsidR="21A3F800" w:rsidRPr="7082A959">
        <w:rPr>
          <w:rFonts w:eastAsia="Arial" w:cs="Arial"/>
          <w:sz w:val="24"/>
        </w:rPr>
        <w:t xml:space="preserve"> and is </w:t>
      </w:r>
      <w:r w:rsidR="007B28C5">
        <w:rPr>
          <w:rFonts w:eastAsia="Arial" w:cs="Arial"/>
          <w:sz w:val="24"/>
        </w:rPr>
        <w:t>split</w:t>
      </w:r>
      <w:r w:rsidR="21A3F800" w:rsidRPr="7082A959">
        <w:rPr>
          <w:rFonts w:eastAsia="Arial" w:cs="Arial"/>
          <w:sz w:val="24"/>
        </w:rPr>
        <w:t xml:space="preserve"> into two processes – a technical and non-technical onboarding</w:t>
      </w:r>
      <w:r w:rsidR="6244C502" w:rsidRPr="7082A959">
        <w:rPr>
          <w:rFonts w:eastAsia="Arial" w:cs="Arial"/>
          <w:sz w:val="24"/>
        </w:rPr>
        <w:t>.</w:t>
      </w:r>
    </w:p>
    <w:p w14:paraId="500A34FF" w14:textId="2D9EDCBF" w:rsidR="700CBDBA" w:rsidRDefault="6244C502" w:rsidP="1ED323CC">
      <w:pPr>
        <w:rPr>
          <w:rFonts w:eastAsia="Arial" w:cs="Arial"/>
        </w:rPr>
      </w:pPr>
      <w:r w:rsidRPr="7082A959">
        <w:rPr>
          <w:rFonts w:eastAsia="Arial" w:cs="Arial"/>
          <w:sz w:val="24"/>
        </w:rPr>
        <w:t>T</w:t>
      </w:r>
      <w:r w:rsidR="700CBDBA" w:rsidRPr="7082A959">
        <w:rPr>
          <w:rFonts w:eastAsia="Arial" w:cs="Arial"/>
          <w:sz w:val="24"/>
        </w:rPr>
        <w:t>he Coordinating Entity manages the operational side of onboarding, while the Governance Authority retains final approval authority. This separation is intentional. It ensures that operational efficiency does not override governance scrutiny</w:t>
      </w:r>
      <w:r w:rsidR="48824736" w:rsidRPr="7082A959">
        <w:rPr>
          <w:rFonts w:eastAsia="Arial" w:cs="Arial"/>
          <w:sz w:val="24"/>
        </w:rPr>
        <w:t xml:space="preserve"> </w:t>
      </w:r>
      <w:r w:rsidR="700CBDBA" w:rsidRPr="7082A959">
        <w:rPr>
          <w:rFonts w:eastAsia="Arial" w:cs="Arial"/>
          <w:sz w:val="24"/>
        </w:rPr>
        <w:t>and that the Governance Authority remains the body that formally admits participants rather than delegating that responsibility entirely to an operational actor.</w:t>
      </w:r>
    </w:p>
    <w:p w14:paraId="5F019ABC" w14:textId="1F4B3313" w:rsidR="700CBDBA" w:rsidRDefault="700CBDBA" w:rsidP="7082A959">
      <w:pPr>
        <w:pStyle w:val="Heading3"/>
        <w:rPr>
          <w:rFonts w:eastAsia="Arial" w:cs="Arial"/>
          <w:sz w:val="24"/>
          <w:szCs w:val="24"/>
        </w:rPr>
      </w:pPr>
      <w:bookmarkStart w:id="80" w:name="_Toc1311177975"/>
      <w:r w:rsidRPr="54AD4DA9">
        <w:t>5.5.1 Non-Technical Onboarding</w:t>
      </w:r>
      <w:bookmarkEnd w:id="80"/>
    </w:p>
    <w:p w14:paraId="359AC473" w14:textId="54CE6CDA" w:rsidR="700CBDBA" w:rsidRDefault="700CBDBA" w:rsidP="7082A959">
      <w:pPr>
        <w:rPr>
          <w:rFonts w:eastAsia="Arial" w:cs="Arial"/>
        </w:rPr>
      </w:pPr>
      <w:r w:rsidRPr="7082A959">
        <w:rPr>
          <w:rFonts w:eastAsia="Arial" w:cs="Arial"/>
          <w:sz w:val="24"/>
        </w:rPr>
        <w:t>The non-technical onboarding process covers the governance, administrative and legal steps that every prospective participant must complete before gaining access. This process applies to all participant types regardless of their technical role, whether they are a Data Provider, Data User</w:t>
      </w:r>
      <w:r w:rsidR="22BF7873" w:rsidRPr="7082A959">
        <w:rPr>
          <w:rFonts w:eastAsia="Arial" w:cs="Arial"/>
          <w:sz w:val="24"/>
        </w:rPr>
        <w:t xml:space="preserve"> </w:t>
      </w:r>
      <w:r w:rsidRPr="7082A959">
        <w:rPr>
          <w:rFonts w:eastAsia="Arial" w:cs="Arial"/>
          <w:sz w:val="24"/>
        </w:rPr>
        <w:t>or Intermediary.</w:t>
      </w:r>
      <w:r w:rsidR="5CF54D36" w:rsidRPr="7082A959">
        <w:rPr>
          <w:rFonts w:eastAsia="Arial" w:cs="Arial"/>
          <w:sz w:val="24"/>
        </w:rPr>
        <w:t xml:space="preserve"> </w:t>
      </w:r>
      <w:r w:rsidRPr="7082A959">
        <w:rPr>
          <w:rFonts w:eastAsia="Arial" w:cs="Arial"/>
          <w:sz w:val="24"/>
        </w:rPr>
        <w:t>The process proceeds as follows</w:t>
      </w:r>
      <w:r w:rsidR="754E2581" w:rsidRPr="7082A959">
        <w:rPr>
          <w:rFonts w:eastAsia="Arial" w:cs="Arial"/>
          <w:sz w:val="24"/>
        </w:rPr>
        <w:t>:</w:t>
      </w:r>
      <w:r w:rsidRPr="7082A959">
        <w:rPr>
          <w:rFonts w:eastAsia="Arial" w:cs="Arial"/>
          <w:sz w:val="24"/>
        </w:rPr>
        <w:t xml:space="preserve"> </w:t>
      </w:r>
    </w:p>
    <w:p w14:paraId="21483369" w14:textId="6B3559B0" w:rsidR="700CBDBA" w:rsidRDefault="700CBDBA" w:rsidP="1ED323CC">
      <w:pPr>
        <w:rPr>
          <w:rFonts w:eastAsia="Arial" w:cs="Arial"/>
        </w:rPr>
      </w:pPr>
      <w:r w:rsidRPr="7082A959">
        <w:rPr>
          <w:rFonts w:eastAsia="Arial" w:cs="Arial"/>
          <w:sz w:val="24"/>
        </w:rPr>
        <w:t>A prospective participant discovers the dataspace and submits a membership application to the Governance Authority. The Governance Authority evaluates the application against the rules and policies registered in the Dataspace Registry, which includes the founding agreement, governance framework and any applicable access criteria. If the application does not meet the minimum requirements, the applicant receives a formal rejection notice stating the grounds for refusal.</w:t>
      </w:r>
    </w:p>
    <w:p w14:paraId="18ECDAEE" w14:textId="202A0878" w:rsidR="700CBDBA" w:rsidRDefault="700CBDBA" w:rsidP="1ED323CC">
      <w:pPr>
        <w:rPr>
          <w:rFonts w:eastAsia="Arial" w:cs="Arial"/>
        </w:rPr>
      </w:pPr>
      <w:r w:rsidRPr="7082A959">
        <w:rPr>
          <w:rFonts w:eastAsia="Arial" w:cs="Arial"/>
          <w:sz w:val="24"/>
        </w:rPr>
        <w:t xml:space="preserve">If the application is accepted, the Governance Authority sends the </w:t>
      </w:r>
      <w:r w:rsidR="644BAF67" w:rsidRPr="7082A959">
        <w:rPr>
          <w:rFonts w:eastAsia="Arial" w:cs="Arial"/>
          <w:sz w:val="24"/>
        </w:rPr>
        <w:t>“</w:t>
      </w:r>
      <w:r w:rsidRPr="7082A959">
        <w:rPr>
          <w:rFonts w:eastAsia="Arial" w:cs="Arial"/>
          <w:sz w:val="24"/>
        </w:rPr>
        <w:t>General Terms and Conditions</w:t>
      </w:r>
      <w:r w:rsidR="2F7A7D39" w:rsidRPr="7082A959">
        <w:rPr>
          <w:rFonts w:eastAsia="Arial" w:cs="Arial"/>
          <w:sz w:val="24"/>
        </w:rPr>
        <w:t>”</w:t>
      </w:r>
      <w:r w:rsidRPr="7082A959">
        <w:rPr>
          <w:rFonts w:eastAsia="Arial" w:cs="Arial"/>
          <w:sz w:val="24"/>
        </w:rPr>
        <w:t xml:space="preserve"> to the applicant. The applicant signs these terms, which confirms their acceptance of the governance and ethical obligations of the dataspace. Following </w:t>
      </w:r>
      <w:r w:rsidR="007B28C5">
        <w:rPr>
          <w:rFonts w:eastAsia="Arial" w:cs="Arial"/>
          <w:sz w:val="24"/>
        </w:rPr>
        <w:t>the</w:t>
      </w:r>
      <w:r w:rsidRPr="7082A959">
        <w:rPr>
          <w:rFonts w:eastAsia="Arial" w:cs="Arial"/>
          <w:sz w:val="24"/>
        </w:rPr>
        <w:t xml:space="preserve"> signature, the Governance Authority issues credentials to the new participant and initiates the technical onboarding phase. Once that phase is completed, the participant receives a formal notification confirming successful onboarding and the status of </w:t>
      </w:r>
      <w:r w:rsidR="007B28C5">
        <w:rPr>
          <w:rFonts w:eastAsia="Arial" w:cs="Arial"/>
          <w:sz w:val="24"/>
        </w:rPr>
        <w:t xml:space="preserve">an </w:t>
      </w:r>
      <w:r w:rsidRPr="7082A959">
        <w:rPr>
          <w:rFonts w:eastAsia="Arial" w:cs="Arial"/>
          <w:sz w:val="24"/>
        </w:rPr>
        <w:t>active participant.</w:t>
      </w:r>
    </w:p>
    <w:p w14:paraId="2AC2C425" w14:textId="04395702" w:rsidR="700CBDBA" w:rsidRDefault="094EDBEB" w:rsidP="1ED323CC">
      <w:pPr>
        <w:rPr>
          <w:rFonts w:eastAsia="Arial" w:cs="Arial"/>
        </w:rPr>
      </w:pPr>
      <w:r w:rsidRPr="7082A959">
        <w:rPr>
          <w:rFonts w:eastAsia="Arial" w:cs="Arial"/>
          <w:sz w:val="24"/>
        </w:rPr>
        <w:t>Important to note is that n</w:t>
      </w:r>
      <w:r w:rsidR="700CBDBA" w:rsidRPr="7082A959">
        <w:rPr>
          <w:rFonts w:eastAsia="Arial" w:cs="Arial"/>
          <w:sz w:val="24"/>
        </w:rPr>
        <w:t>o data access is permitted at any stage prior to the completion of this process</w:t>
      </w:r>
      <w:r w:rsidR="5D2A5EE4" w:rsidRPr="7082A959">
        <w:rPr>
          <w:rFonts w:eastAsia="Arial" w:cs="Arial"/>
          <w:sz w:val="24"/>
        </w:rPr>
        <w:t>!</w:t>
      </w:r>
    </w:p>
    <w:p w14:paraId="2A9CB15A" w14:textId="2AABE2F0" w:rsidR="700CBDBA" w:rsidRDefault="700CBDBA" w:rsidP="7082A959">
      <w:pPr>
        <w:pStyle w:val="Heading3"/>
        <w:rPr>
          <w:rFonts w:eastAsia="Arial" w:cs="Arial"/>
          <w:sz w:val="24"/>
          <w:szCs w:val="24"/>
        </w:rPr>
      </w:pPr>
      <w:bookmarkStart w:id="81" w:name="_Toc1264410068"/>
      <w:r w:rsidRPr="54AD4DA9">
        <w:t>5.5.2 Technical Onboarding</w:t>
      </w:r>
      <w:bookmarkEnd w:id="81"/>
    </w:p>
    <w:p w14:paraId="54E3BF35" w14:textId="57EF980E" w:rsidR="700CBDBA" w:rsidRDefault="700CBDBA" w:rsidP="1ED323CC">
      <w:pPr>
        <w:rPr>
          <w:rFonts w:eastAsia="Arial" w:cs="Arial"/>
        </w:rPr>
      </w:pPr>
      <w:r w:rsidRPr="1ED323CC">
        <w:rPr>
          <w:rFonts w:eastAsia="Arial" w:cs="Arial"/>
          <w:sz w:val="24"/>
        </w:rPr>
        <w:t>The technical onboarding process covers the steps required to provision a new participant within the dataspace's technical infrastructure. It follows directly from the completion of the non-technical process and is managed by the Coordinating Entity with oversight from the Governance Authority.</w:t>
      </w:r>
    </w:p>
    <w:p w14:paraId="057FB807" w14:textId="5DC4A91A" w:rsidR="700CBDBA" w:rsidRDefault="700CBDBA" w:rsidP="1ED323CC">
      <w:pPr>
        <w:rPr>
          <w:rFonts w:eastAsia="Arial" w:cs="Arial"/>
        </w:rPr>
      </w:pPr>
      <w:r w:rsidRPr="7082A959">
        <w:rPr>
          <w:rFonts w:eastAsia="Arial" w:cs="Arial"/>
          <w:sz w:val="24"/>
        </w:rPr>
        <w:lastRenderedPageBreak/>
        <w:t xml:space="preserve">Once a prospective participant has submitted their application, they receive temporary credentials that allow them to access the onboarding frontend. Through this interface, they complete the onboarding request form and upload any required documents, which may include signed Terms and Conditions, organisation data and </w:t>
      </w:r>
      <w:r w:rsidR="5D16B315" w:rsidRPr="7082A959">
        <w:rPr>
          <w:rFonts w:eastAsia="Arial" w:cs="Arial"/>
          <w:sz w:val="24"/>
        </w:rPr>
        <w:t xml:space="preserve">any </w:t>
      </w:r>
      <w:r w:rsidRPr="7082A959">
        <w:rPr>
          <w:rFonts w:eastAsia="Arial" w:cs="Arial"/>
          <w:sz w:val="24"/>
        </w:rPr>
        <w:t>relevant</w:t>
      </w:r>
      <w:r w:rsidR="5E9397B6" w:rsidRPr="7082A959">
        <w:rPr>
          <w:rFonts w:eastAsia="Arial" w:cs="Arial"/>
          <w:sz w:val="24"/>
        </w:rPr>
        <w:t xml:space="preserve"> information</w:t>
      </w:r>
      <w:r w:rsidRPr="7082A959">
        <w:rPr>
          <w:rFonts w:eastAsia="Arial" w:cs="Arial"/>
          <w:sz w:val="24"/>
        </w:rPr>
        <w:t xml:space="preserve"> to their intended role as a data provider, application or infrastructure provider or data consumer. Where needed, the participant may communicate with the Governance Authority through the comments section of the onboarding form.</w:t>
      </w:r>
    </w:p>
    <w:p w14:paraId="4670FEC6" w14:textId="02D513BE" w:rsidR="700CBDBA" w:rsidRDefault="700CBDBA" w:rsidP="1ED323CC">
      <w:pPr>
        <w:rPr>
          <w:rFonts w:eastAsia="Arial" w:cs="Arial"/>
        </w:rPr>
      </w:pPr>
      <w:r w:rsidRPr="7082A959">
        <w:rPr>
          <w:rFonts w:eastAsia="Arial" w:cs="Arial"/>
          <w:sz w:val="24"/>
        </w:rPr>
        <w:t>Following submission, the Coordinating Entity reviews the onboarding request. If the request is rejected, the participant is notified with a stated reason</w:t>
      </w:r>
      <w:r w:rsidR="00682B83">
        <w:rPr>
          <w:rFonts w:eastAsia="Arial" w:cs="Arial"/>
          <w:sz w:val="24"/>
        </w:rPr>
        <w:t>,</w:t>
      </w:r>
      <w:r w:rsidRPr="7082A959">
        <w:rPr>
          <w:rFonts w:eastAsia="Arial" w:cs="Arial"/>
          <w:sz w:val="24"/>
        </w:rPr>
        <w:t xml:space="preserve"> and the process ends. If the request is approved, the Governance Authority triggers participant creation within the system. This involves storing the participant's identity and security attributes in the Security Attributes Provider Component, generating a keypair, storing the keypair, and generating a Certificate Signing Request. The resulting credentials are then communicated to the participant via a Tier 2 communication channel. The participant installs the credentials, uploads their Tier 1 public key and receives a notification confirming that the technical onboarding is complete.</w:t>
      </w:r>
    </w:p>
    <w:p w14:paraId="6BB00644" w14:textId="798B0B70" w:rsidR="700CBDBA" w:rsidRDefault="700CBDBA" w:rsidP="1ED323CC">
      <w:pPr>
        <w:rPr>
          <w:rFonts w:eastAsia="Arial" w:cs="Arial"/>
        </w:rPr>
      </w:pPr>
      <w:r w:rsidRPr="1ED323CC">
        <w:rPr>
          <w:rFonts w:eastAsia="Arial" w:cs="Arial"/>
          <w:sz w:val="24"/>
        </w:rPr>
        <w:t>At that point, the participant is formally active in the dataspace and may begin operating according to the rights and obligations established in their membership and data-sharing agreements.</w:t>
      </w:r>
    </w:p>
    <w:p w14:paraId="44540789" w14:textId="0497366D" w:rsidR="700CBDBA" w:rsidRDefault="700CBDBA" w:rsidP="7082A959">
      <w:pPr>
        <w:pStyle w:val="Heading3"/>
        <w:rPr>
          <w:rFonts w:eastAsia="Arial" w:cs="Arial"/>
          <w:sz w:val="24"/>
          <w:szCs w:val="24"/>
        </w:rPr>
      </w:pPr>
      <w:bookmarkStart w:id="82" w:name="_Toc837694867"/>
      <w:r w:rsidRPr="54AD4DA9">
        <w:t>5.5.3 Conditions for Onboarding Approval</w:t>
      </w:r>
      <w:bookmarkEnd w:id="82"/>
    </w:p>
    <w:p w14:paraId="3F5F4AD3" w14:textId="18EA1F3B" w:rsidR="700CBDBA" w:rsidRDefault="700CBDBA" w:rsidP="1ED323CC">
      <w:pPr>
        <w:rPr>
          <w:rFonts w:eastAsia="Arial" w:cs="Arial"/>
        </w:rPr>
      </w:pPr>
      <w:r w:rsidRPr="1ED323CC">
        <w:rPr>
          <w:rFonts w:eastAsia="Arial" w:cs="Arial"/>
          <w:sz w:val="24"/>
        </w:rPr>
        <w:t>Admission to the dataspace is not automatic. The Governance Authority must be satisfied that the following conditions are met before onboarding can be approved:</w:t>
      </w:r>
    </w:p>
    <w:p w14:paraId="7DA32F95" w14:textId="0030E9AF" w:rsidR="700CBDBA" w:rsidRDefault="700CBDBA" w:rsidP="1ED323CC">
      <w:pPr>
        <w:rPr>
          <w:rFonts w:eastAsia="Arial" w:cs="Arial"/>
        </w:rPr>
      </w:pPr>
      <w:r w:rsidRPr="7082A959">
        <w:rPr>
          <w:rFonts w:eastAsia="Arial" w:cs="Arial"/>
          <w:sz w:val="24"/>
        </w:rPr>
        <w:t>The prospective participant has a clearly defined and legitimate purpose that is compatible with the goals of the Inzicht Verlicht dataspace. Their intended data use must not conflict with the ethical principles of the framework and must fall within a use category that is either already approved or can be assessed under the ethics review process described in section 5.7</w:t>
      </w:r>
      <w:r w:rsidR="3EC5498C" w:rsidRPr="7082A959">
        <w:rPr>
          <w:rFonts w:eastAsia="Arial" w:cs="Arial"/>
          <w:sz w:val="24"/>
        </w:rPr>
        <w:t xml:space="preserve"> (of this document)</w:t>
      </w:r>
      <w:r w:rsidRPr="7082A959">
        <w:rPr>
          <w:rFonts w:eastAsia="Arial" w:cs="Arial"/>
          <w:sz w:val="24"/>
        </w:rPr>
        <w:t>.</w:t>
      </w:r>
    </w:p>
    <w:p w14:paraId="2B525B87" w14:textId="3D1132FF" w:rsidR="700CBDBA" w:rsidRDefault="700CBDBA" w:rsidP="1ED323CC">
      <w:pPr>
        <w:rPr>
          <w:rFonts w:eastAsia="Arial" w:cs="Arial"/>
        </w:rPr>
      </w:pPr>
      <w:r w:rsidRPr="1ED323CC">
        <w:rPr>
          <w:rFonts w:eastAsia="Arial" w:cs="Arial"/>
          <w:sz w:val="24"/>
        </w:rPr>
        <w:t>The prospective participant has designated a Reference Person within their organisation who will serve as the accountability point for all data activities. The Coordinating Entity must verify that this person holds a position of sufficient authority within their organisation to act on compliance concerns. Assigning this role as a formality without genuine organisational backing is not acceptable.</w:t>
      </w:r>
    </w:p>
    <w:p w14:paraId="0304B110" w14:textId="4E53DEB9" w:rsidR="700CBDBA" w:rsidRDefault="700CBDBA" w:rsidP="1ED323CC">
      <w:pPr>
        <w:rPr>
          <w:rFonts w:eastAsia="Arial" w:cs="Arial"/>
        </w:rPr>
      </w:pPr>
      <w:r w:rsidRPr="7082A959">
        <w:rPr>
          <w:rFonts w:eastAsia="Arial" w:cs="Arial"/>
          <w:sz w:val="24"/>
        </w:rPr>
        <w:t>The prospective participant has signed the membership agreement and accepted the General Terms and Conditions in full. No partial acceptance is permitted and no exceptions to governance obligations may be negotiated at the onboarding stage.</w:t>
      </w:r>
    </w:p>
    <w:p w14:paraId="67EF4BEF" w14:textId="7611573F" w:rsidR="1ED323CC" w:rsidRDefault="700CBDBA" w:rsidP="06DD2C82">
      <w:pPr>
        <w:rPr>
          <w:rFonts w:eastAsia="Arial" w:cs="Arial"/>
        </w:rPr>
      </w:pPr>
      <w:r w:rsidRPr="06DD2C82">
        <w:rPr>
          <w:rFonts w:eastAsia="Arial" w:cs="Arial"/>
          <w:sz w:val="24"/>
        </w:rPr>
        <w:t>The prospective participant's data practices and technical infrastructure are, to the extent assessable, compatible with the dataspace's security requirements and the obligations imposed by NIS2 and GDPR.</w:t>
      </w:r>
    </w:p>
    <w:p w14:paraId="64F1A65F" w14:textId="08A65EC5" w:rsidR="0079393A" w:rsidRPr="0050011A" w:rsidRDefault="0079393A" w:rsidP="0079393A">
      <w:pPr>
        <w:pStyle w:val="Heading2"/>
        <w:rPr>
          <w:rFonts w:cs="Arial"/>
        </w:rPr>
      </w:pPr>
      <w:bookmarkStart w:id="83" w:name="_Toc230347193"/>
      <w:bookmarkStart w:id="84" w:name="_Toc2001140069"/>
      <w:r w:rsidRPr="54AD4DA9">
        <w:rPr>
          <w:rFonts w:cs="Arial"/>
        </w:rPr>
        <w:lastRenderedPageBreak/>
        <w:t>5.</w:t>
      </w:r>
      <w:r w:rsidR="00B5216D" w:rsidRPr="54AD4DA9">
        <w:rPr>
          <w:rFonts w:cs="Arial"/>
        </w:rPr>
        <w:t>6</w:t>
      </w:r>
      <w:r w:rsidRPr="54AD4DA9">
        <w:rPr>
          <w:rFonts w:cs="Arial"/>
        </w:rPr>
        <w:t xml:space="preserve"> Monitoring, Auditing, and Compliance</w:t>
      </w:r>
      <w:bookmarkEnd w:id="83"/>
      <w:bookmarkEnd w:id="84"/>
    </w:p>
    <w:p w14:paraId="26B60D1E" w14:textId="51040850" w:rsidR="005033E9" w:rsidRPr="0050011A" w:rsidRDefault="004920D0" w:rsidP="005033E9">
      <w:pPr>
        <w:rPr>
          <w:rFonts w:cs="Arial"/>
        </w:rPr>
      </w:pPr>
      <w:r w:rsidRPr="0050011A">
        <w:rPr>
          <w:rFonts w:cs="Arial"/>
        </w:rPr>
        <w:t>Mon</w:t>
      </w:r>
      <w:r w:rsidR="009922C5" w:rsidRPr="0050011A">
        <w:rPr>
          <w:rFonts w:cs="Arial"/>
        </w:rPr>
        <w:t xml:space="preserve">itoring within a dataspace should not be </w:t>
      </w:r>
      <w:r w:rsidR="00D3353B" w:rsidRPr="0050011A">
        <w:rPr>
          <w:rFonts w:cs="Arial"/>
        </w:rPr>
        <w:t xml:space="preserve">seen as means of overseeing or controlling participants but rather </w:t>
      </w:r>
      <w:r w:rsidR="00DC7247" w:rsidRPr="0050011A">
        <w:rPr>
          <w:rFonts w:cs="Arial"/>
        </w:rPr>
        <w:t>as a mechanism for ensu</w:t>
      </w:r>
      <w:r w:rsidR="00514972" w:rsidRPr="0050011A">
        <w:rPr>
          <w:rFonts w:cs="Arial"/>
        </w:rPr>
        <w:t xml:space="preserve">ring transparency, accountability and compliance with agreed </w:t>
      </w:r>
      <w:r w:rsidR="00492397" w:rsidRPr="0050011A">
        <w:rPr>
          <w:rFonts w:cs="Arial"/>
        </w:rPr>
        <w:t>governance</w:t>
      </w:r>
      <w:r w:rsidR="00514972" w:rsidRPr="0050011A">
        <w:rPr>
          <w:rFonts w:cs="Arial"/>
        </w:rPr>
        <w:t xml:space="preserve"> principles. When data concerning citizens and public spaces </w:t>
      </w:r>
      <w:r w:rsidR="00492397" w:rsidRPr="0050011A">
        <w:rPr>
          <w:rFonts w:cs="Arial"/>
        </w:rPr>
        <w:t xml:space="preserve">is shared across organisations and used to support policy decisions, there must be a way to demonstrate that </w:t>
      </w:r>
      <w:r w:rsidR="00855E55" w:rsidRPr="0050011A">
        <w:rPr>
          <w:rFonts w:cs="Arial"/>
        </w:rPr>
        <w:t>data</w:t>
      </w:r>
      <w:r w:rsidR="00492397" w:rsidRPr="0050011A">
        <w:rPr>
          <w:rFonts w:cs="Arial"/>
        </w:rPr>
        <w:t xml:space="preserve"> is being accessed, shared and used in accordance with established agreements and intended </w:t>
      </w:r>
      <w:r w:rsidR="00855E55" w:rsidRPr="0050011A">
        <w:rPr>
          <w:rFonts w:cs="Arial"/>
        </w:rPr>
        <w:t>purposes</w:t>
      </w:r>
      <w:r w:rsidR="00492397" w:rsidRPr="0050011A">
        <w:rPr>
          <w:rFonts w:cs="Arial"/>
        </w:rPr>
        <w:t xml:space="preserve">. </w:t>
      </w:r>
      <w:r w:rsidR="00F00D01" w:rsidRPr="0050011A">
        <w:rPr>
          <w:rFonts w:cs="Arial"/>
        </w:rPr>
        <w:t xml:space="preserve">The audit trail exists so that if something goes wrong, responsibility can be assigned and </w:t>
      </w:r>
      <w:r w:rsidR="00F50D9F" w:rsidRPr="0050011A">
        <w:rPr>
          <w:rFonts w:cs="Arial"/>
        </w:rPr>
        <w:t xml:space="preserve">remediation can be required. The re-identification reassessment </w:t>
      </w:r>
      <w:r w:rsidR="00C743C8" w:rsidRPr="0050011A">
        <w:rPr>
          <w:rFonts w:cs="Arial"/>
        </w:rPr>
        <w:t xml:space="preserve">ensures that privacy </w:t>
      </w:r>
      <w:r w:rsidR="00855E55" w:rsidRPr="0050011A">
        <w:rPr>
          <w:rFonts w:cs="Arial"/>
        </w:rPr>
        <w:t>protections</w:t>
      </w:r>
      <w:r w:rsidR="00C743C8" w:rsidRPr="0050011A">
        <w:rPr>
          <w:rFonts w:cs="Arial"/>
        </w:rPr>
        <w:t xml:space="preserve"> remain effective over time</w:t>
      </w:r>
      <w:r w:rsidR="00CD5432" w:rsidRPr="0050011A">
        <w:rPr>
          <w:rFonts w:cs="Arial"/>
        </w:rPr>
        <w:t xml:space="preserve">. Together, these monitoring mechanisms transform governance principles </w:t>
      </w:r>
      <w:r w:rsidR="001C6DE5" w:rsidRPr="0050011A">
        <w:rPr>
          <w:rFonts w:cs="Arial"/>
        </w:rPr>
        <w:t xml:space="preserve">into </w:t>
      </w:r>
      <w:r w:rsidR="00855E55" w:rsidRPr="0050011A">
        <w:rPr>
          <w:rFonts w:cs="Arial"/>
        </w:rPr>
        <w:t>enforceable</w:t>
      </w:r>
      <w:r w:rsidR="001C6DE5" w:rsidRPr="0050011A">
        <w:rPr>
          <w:rFonts w:cs="Arial"/>
        </w:rPr>
        <w:t xml:space="preserve"> practices</w:t>
      </w:r>
      <w:r w:rsidR="00855E55" w:rsidRPr="0050011A">
        <w:rPr>
          <w:rFonts w:cs="Arial"/>
        </w:rPr>
        <w:t xml:space="preserve">. </w:t>
      </w:r>
    </w:p>
    <w:p w14:paraId="6501D841" w14:textId="7B572996" w:rsidR="0001415F" w:rsidRPr="0050011A" w:rsidRDefault="0001415F" w:rsidP="00C74C73">
      <w:pPr>
        <w:pStyle w:val="Heading3"/>
        <w:rPr>
          <w:rFonts w:cs="Arial"/>
        </w:rPr>
      </w:pPr>
      <w:bookmarkStart w:id="85" w:name="_Toc1608781523"/>
      <w:r w:rsidRPr="54AD4DA9">
        <w:rPr>
          <w:rFonts w:cs="Arial"/>
        </w:rPr>
        <w:t>5.6.1 API-Key Usage Tracking</w:t>
      </w:r>
      <w:bookmarkEnd w:id="85"/>
    </w:p>
    <w:p w14:paraId="105389B7" w14:textId="15998017" w:rsidR="00C74C73" w:rsidRPr="0050011A" w:rsidRDefault="00053C36" w:rsidP="00C74C73">
      <w:pPr>
        <w:rPr>
          <w:rFonts w:cs="Arial"/>
        </w:rPr>
      </w:pPr>
      <w:r w:rsidRPr="0050011A">
        <w:rPr>
          <w:rFonts w:cs="Arial"/>
        </w:rPr>
        <w:t xml:space="preserve">All data access activities within the dataspace should be recorded through the </w:t>
      </w:r>
      <w:r w:rsidR="009E4596" w:rsidRPr="0050011A">
        <w:rPr>
          <w:rFonts w:cs="Arial"/>
        </w:rPr>
        <w:t xml:space="preserve">API-key infrastructure to ensure traceability and accountability. For each access event, the audit log should capture the identity of the participant, the dataset accessed, the date </w:t>
      </w:r>
      <w:r w:rsidR="00803C88" w:rsidRPr="0050011A">
        <w:rPr>
          <w:rFonts w:cs="Arial"/>
        </w:rPr>
        <w:t xml:space="preserve">and time of access and the intended purpose as specified in the data-sharing agreement. These records are </w:t>
      </w:r>
      <w:r w:rsidR="00394788" w:rsidRPr="0050011A">
        <w:rPr>
          <w:rFonts w:cs="Arial"/>
        </w:rPr>
        <w:t>maintained</w:t>
      </w:r>
      <w:r w:rsidR="00803C88" w:rsidRPr="0050011A">
        <w:rPr>
          <w:rFonts w:cs="Arial"/>
        </w:rPr>
        <w:t xml:space="preserve"> by the </w:t>
      </w:r>
      <w:r w:rsidR="00CC117E" w:rsidRPr="0050011A">
        <w:rPr>
          <w:rFonts w:cs="Arial"/>
        </w:rPr>
        <w:t xml:space="preserve">Coordinating Entity and form part </w:t>
      </w:r>
      <w:r w:rsidR="00F853A6" w:rsidRPr="0050011A">
        <w:rPr>
          <w:rFonts w:cs="Arial"/>
        </w:rPr>
        <w:t>of the periodic compliance review process. Logging is performed contin</w:t>
      </w:r>
      <w:r w:rsidR="00E01543" w:rsidRPr="0050011A">
        <w:rPr>
          <w:rFonts w:cs="Arial"/>
        </w:rPr>
        <w:t xml:space="preserve">uously, while formal reviews are conducted every quarter. </w:t>
      </w:r>
    </w:p>
    <w:p w14:paraId="7F5FE980" w14:textId="243EC703" w:rsidR="0001415F" w:rsidRPr="0050011A" w:rsidRDefault="0001415F" w:rsidP="00C74C73">
      <w:pPr>
        <w:pStyle w:val="Heading3"/>
        <w:rPr>
          <w:rFonts w:cs="Arial"/>
        </w:rPr>
      </w:pPr>
      <w:bookmarkStart w:id="86" w:name="_Toc1545864403"/>
      <w:r w:rsidRPr="54AD4DA9">
        <w:rPr>
          <w:rFonts w:cs="Arial"/>
        </w:rPr>
        <w:t>5.6.2 Periodic Data Quality Checks</w:t>
      </w:r>
      <w:bookmarkEnd w:id="86"/>
    </w:p>
    <w:p w14:paraId="704D4B55" w14:textId="4EB63C5D" w:rsidR="006D1772" w:rsidRPr="0050011A" w:rsidRDefault="005B348D" w:rsidP="006D1772">
      <w:pPr>
        <w:rPr>
          <w:rFonts w:cs="Arial"/>
        </w:rPr>
      </w:pPr>
      <w:r w:rsidRPr="0050011A">
        <w:rPr>
          <w:rFonts w:cs="Arial"/>
        </w:rPr>
        <w:t>Data provid</w:t>
      </w:r>
      <w:r w:rsidR="00B5316E" w:rsidRPr="0050011A">
        <w:rPr>
          <w:rFonts w:cs="Arial"/>
        </w:rPr>
        <w:t xml:space="preserve">ers are responsible for maintaining the quality of the datasets they contribute to the dataspace. The Coordinating Entity conducts periodic assessments to verify </w:t>
      </w:r>
      <w:r w:rsidR="00611D33" w:rsidRPr="0050011A">
        <w:rPr>
          <w:rFonts w:cs="Arial"/>
        </w:rPr>
        <w:t xml:space="preserve">if the </w:t>
      </w:r>
      <w:r w:rsidR="007207B8" w:rsidRPr="0050011A">
        <w:rPr>
          <w:rFonts w:cs="Arial"/>
        </w:rPr>
        <w:t xml:space="preserve">data is up to the quality standards defined during onboarding. </w:t>
      </w:r>
      <w:r w:rsidR="00245563" w:rsidRPr="0050011A">
        <w:rPr>
          <w:rFonts w:cs="Arial"/>
        </w:rPr>
        <w:t xml:space="preserve">This includes completeness, accuracy and consistency with the semantic model. </w:t>
      </w:r>
      <w:r w:rsidR="00036259" w:rsidRPr="0050011A">
        <w:rPr>
          <w:rFonts w:cs="Arial"/>
        </w:rPr>
        <w:t xml:space="preserve">When quality issues are identified, the </w:t>
      </w:r>
      <w:r w:rsidR="00213E1E" w:rsidRPr="0050011A">
        <w:rPr>
          <w:rFonts w:cs="Arial"/>
        </w:rPr>
        <w:t>data</w:t>
      </w:r>
      <w:r w:rsidR="00036259" w:rsidRPr="0050011A">
        <w:rPr>
          <w:rFonts w:cs="Arial"/>
        </w:rPr>
        <w:t xml:space="preserve"> provider is </w:t>
      </w:r>
      <w:r w:rsidR="00FE362D" w:rsidRPr="0050011A">
        <w:rPr>
          <w:rFonts w:cs="Arial"/>
        </w:rPr>
        <w:t xml:space="preserve">notified </w:t>
      </w:r>
      <w:r w:rsidR="00213E1E" w:rsidRPr="0050011A">
        <w:rPr>
          <w:rFonts w:cs="Arial"/>
        </w:rPr>
        <w:t xml:space="preserve">and given a defined period to resolve </w:t>
      </w:r>
      <w:r w:rsidR="000537C9" w:rsidRPr="0050011A">
        <w:rPr>
          <w:rFonts w:cs="Arial"/>
        </w:rPr>
        <w:t>them. Unresolved</w:t>
      </w:r>
      <w:r w:rsidR="00213E1E" w:rsidRPr="0050011A">
        <w:rPr>
          <w:rFonts w:cs="Arial"/>
        </w:rPr>
        <w:t xml:space="preserve"> issues might result in the dataset being temporarily suspended from the dataspace. </w:t>
      </w:r>
      <w:r w:rsidR="00E35BE1" w:rsidRPr="0050011A">
        <w:rPr>
          <w:rFonts w:cs="Arial"/>
        </w:rPr>
        <w:t xml:space="preserve">The data quality checks should be </w:t>
      </w:r>
      <w:r w:rsidR="008F1ECA" w:rsidRPr="0050011A">
        <w:rPr>
          <w:rFonts w:cs="Arial"/>
        </w:rPr>
        <w:t>done every six months or immediately following a reported data quality incident.</w:t>
      </w:r>
    </w:p>
    <w:p w14:paraId="2C661AF5" w14:textId="70198FE1" w:rsidR="0001415F" w:rsidRPr="0050011A" w:rsidRDefault="0001415F" w:rsidP="00C74C73">
      <w:pPr>
        <w:pStyle w:val="Heading3"/>
        <w:rPr>
          <w:rFonts w:cs="Arial"/>
        </w:rPr>
      </w:pPr>
      <w:bookmarkStart w:id="87" w:name="_Toc851209084"/>
      <w:r w:rsidRPr="54AD4DA9">
        <w:rPr>
          <w:rFonts w:cs="Arial"/>
        </w:rPr>
        <w:t>5.6.3 Re-Ident</w:t>
      </w:r>
      <w:r w:rsidR="0077327A" w:rsidRPr="54AD4DA9">
        <w:rPr>
          <w:rFonts w:cs="Arial"/>
        </w:rPr>
        <w:t>ification Risk Reassessments</w:t>
      </w:r>
      <w:bookmarkEnd w:id="87"/>
    </w:p>
    <w:p w14:paraId="4A2730F0" w14:textId="2A44D2BB" w:rsidR="003C13C7" w:rsidRPr="0050011A" w:rsidRDefault="00C14EDF" w:rsidP="008F1ECA">
      <w:pPr>
        <w:rPr>
          <w:rFonts w:cs="Arial"/>
        </w:rPr>
      </w:pPr>
      <w:r w:rsidRPr="0050011A">
        <w:rPr>
          <w:rFonts w:cs="Arial"/>
        </w:rPr>
        <w:t>All datasets</w:t>
      </w:r>
      <w:r w:rsidR="00FF3BE2" w:rsidRPr="0050011A">
        <w:rPr>
          <w:rFonts w:cs="Arial"/>
        </w:rPr>
        <w:t xml:space="preserve"> that are</w:t>
      </w:r>
      <w:r w:rsidRPr="0050011A">
        <w:rPr>
          <w:rFonts w:cs="Arial"/>
        </w:rPr>
        <w:t xml:space="preserve"> classified as open or shared externally must undergo </w:t>
      </w:r>
      <w:r w:rsidR="00576B0D" w:rsidRPr="0050011A">
        <w:rPr>
          <w:rFonts w:cs="Arial"/>
        </w:rPr>
        <w:t xml:space="preserve">a </w:t>
      </w:r>
      <w:r w:rsidRPr="0050011A">
        <w:rPr>
          <w:rFonts w:cs="Arial"/>
        </w:rPr>
        <w:t>periodic re-identification risk</w:t>
      </w:r>
      <w:r w:rsidR="00576B0D" w:rsidRPr="0050011A">
        <w:rPr>
          <w:rFonts w:cs="Arial"/>
        </w:rPr>
        <w:t xml:space="preserve"> assessment</w:t>
      </w:r>
      <w:r w:rsidR="001F6B33" w:rsidRPr="0050011A">
        <w:rPr>
          <w:rFonts w:cs="Arial"/>
        </w:rPr>
        <w:t xml:space="preserve"> annually and whenever new datasets are introduced that could increase the risk of re-identification when combined with existing data. </w:t>
      </w:r>
      <w:r w:rsidR="003C4B34" w:rsidRPr="0050011A">
        <w:rPr>
          <w:rFonts w:cs="Arial"/>
        </w:rPr>
        <w:t xml:space="preserve">The assessment </w:t>
      </w:r>
      <w:r w:rsidR="003C13C7" w:rsidRPr="0050011A">
        <w:rPr>
          <w:rFonts w:cs="Arial"/>
        </w:rPr>
        <w:t xml:space="preserve">follows the procedure defined in section 5.3 and </w:t>
      </w:r>
      <w:r w:rsidR="003C4B34" w:rsidRPr="0050011A">
        <w:rPr>
          <w:rFonts w:cs="Arial"/>
        </w:rPr>
        <w:t xml:space="preserve">must be documented and approved by the Governance Authority before the dataset classification is maintained or updated. </w:t>
      </w:r>
    </w:p>
    <w:p w14:paraId="7AE6F4AD" w14:textId="0830E589" w:rsidR="0077327A" w:rsidRPr="0050011A" w:rsidRDefault="0077327A" w:rsidP="00C74C73">
      <w:pPr>
        <w:pStyle w:val="Heading3"/>
        <w:rPr>
          <w:rFonts w:cs="Arial"/>
        </w:rPr>
      </w:pPr>
      <w:bookmarkStart w:id="88" w:name="_Toc1271933177"/>
      <w:r w:rsidRPr="54AD4DA9">
        <w:rPr>
          <w:rFonts w:cs="Arial"/>
        </w:rPr>
        <w:t>5.6.4 Compliance Audits</w:t>
      </w:r>
      <w:bookmarkEnd w:id="88"/>
    </w:p>
    <w:p w14:paraId="5A6927A6" w14:textId="20DCE220" w:rsidR="00BB460A" w:rsidRPr="0050011A" w:rsidRDefault="004B1C78" w:rsidP="00BB460A">
      <w:pPr>
        <w:rPr>
          <w:rFonts w:cs="Arial"/>
        </w:rPr>
      </w:pPr>
      <w:r w:rsidRPr="0050011A">
        <w:rPr>
          <w:rFonts w:cs="Arial"/>
        </w:rPr>
        <w:t xml:space="preserve">An annual compliance audit evaluates whether participants comply with the governance framework, including membership agreements, data-sharing agreements and data access conditions. The audit verifies that data is used for its intended </w:t>
      </w:r>
      <w:r w:rsidR="00BD0982" w:rsidRPr="0050011A">
        <w:rPr>
          <w:rFonts w:cs="Arial"/>
        </w:rPr>
        <w:t xml:space="preserve">purpose, audit logs are properly maintained and required ethics reviews have been completed. </w:t>
      </w:r>
      <w:r w:rsidR="00C4007A" w:rsidRPr="0050011A">
        <w:rPr>
          <w:rFonts w:cs="Arial"/>
        </w:rPr>
        <w:t xml:space="preserve">The findings </w:t>
      </w:r>
      <w:r w:rsidR="00353908" w:rsidRPr="0050011A">
        <w:rPr>
          <w:rFonts w:cs="Arial"/>
        </w:rPr>
        <w:t xml:space="preserve">are reported to the Governance Authority. Cases of non-compliance are handled according to the enforcement procedure outlined in section 5.8. </w:t>
      </w:r>
    </w:p>
    <w:p w14:paraId="49B84387" w14:textId="02C65FB4" w:rsidR="0077327A" w:rsidRPr="0050011A" w:rsidRDefault="0077327A" w:rsidP="00C74C73">
      <w:pPr>
        <w:pStyle w:val="Heading3"/>
        <w:rPr>
          <w:rFonts w:cs="Arial"/>
        </w:rPr>
      </w:pPr>
      <w:bookmarkStart w:id="89" w:name="_Toc968796061"/>
      <w:r w:rsidRPr="54AD4DA9">
        <w:rPr>
          <w:rFonts w:cs="Arial"/>
        </w:rPr>
        <w:t>5.6.5 Participant Feedback Loops</w:t>
      </w:r>
      <w:bookmarkEnd w:id="89"/>
    </w:p>
    <w:p w14:paraId="76072920" w14:textId="6AC08A15" w:rsidR="007362E1" w:rsidRPr="0050011A" w:rsidRDefault="00111796" w:rsidP="007362E1">
      <w:pPr>
        <w:rPr>
          <w:rFonts w:cs="Arial"/>
        </w:rPr>
      </w:pPr>
      <w:r w:rsidRPr="0050011A">
        <w:rPr>
          <w:rFonts w:cs="Arial"/>
        </w:rPr>
        <w:t xml:space="preserve">Each participant is invited to submit feedback on the governance framework once per year, covering the usability of </w:t>
      </w:r>
      <w:r w:rsidR="001C1D0F" w:rsidRPr="0050011A">
        <w:rPr>
          <w:rFonts w:cs="Arial"/>
        </w:rPr>
        <w:t>procedures</w:t>
      </w:r>
      <w:r w:rsidRPr="0050011A">
        <w:rPr>
          <w:rFonts w:cs="Arial"/>
        </w:rPr>
        <w:t xml:space="preserve">, any concerns about data use they have observed and suggestions for </w:t>
      </w:r>
      <w:r w:rsidR="008646AD" w:rsidRPr="0050011A">
        <w:rPr>
          <w:rFonts w:cs="Arial"/>
        </w:rPr>
        <w:t>improvement. Th</w:t>
      </w:r>
      <w:r w:rsidR="00787D66" w:rsidRPr="0050011A">
        <w:rPr>
          <w:rFonts w:cs="Arial"/>
        </w:rPr>
        <w:t>e collected feedback is reviewed by the Governance Authority as part of the annual KPI evaluation. This mechanism serves as a formal channel for continuous improvement rather than a complaints procedure.</w:t>
      </w:r>
    </w:p>
    <w:p w14:paraId="7FEE3ACA" w14:textId="48A806FF" w:rsidR="0079393A" w:rsidRPr="0050011A" w:rsidRDefault="0079393A" w:rsidP="0079393A">
      <w:pPr>
        <w:pStyle w:val="Heading2"/>
        <w:rPr>
          <w:rFonts w:cs="Arial"/>
        </w:rPr>
      </w:pPr>
      <w:bookmarkStart w:id="90" w:name="_Toc230347194"/>
      <w:bookmarkStart w:id="91" w:name="_Toc303129070"/>
      <w:r w:rsidRPr="54AD4DA9">
        <w:rPr>
          <w:rFonts w:cs="Arial"/>
        </w:rPr>
        <w:lastRenderedPageBreak/>
        <w:t>5.</w:t>
      </w:r>
      <w:r w:rsidR="00B91F3C" w:rsidRPr="54AD4DA9">
        <w:rPr>
          <w:rFonts w:cs="Arial"/>
        </w:rPr>
        <w:t>7</w:t>
      </w:r>
      <w:r w:rsidRPr="54AD4DA9">
        <w:rPr>
          <w:rFonts w:cs="Arial"/>
        </w:rPr>
        <w:t xml:space="preserve"> Ethics Review Process</w:t>
      </w:r>
      <w:bookmarkEnd w:id="90"/>
      <w:bookmarkEnd w:id="91"/>
    </w:p>
    <w:p w14:paraId="6A7C9416" w14:textId="4994A851"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One of the clearest lessons from the DS4SSCC Blueprint is that ethics is not a checklist. The Blueprint clearly states that ethical guidelines are based on shared principles that offer recommendations for analysing data practices and their purpose, and that ethics is a process that does not simply lead to clear and fixed compliance criteria. That makes it both harder and more important to seriously build ethical assessment into the governance framework. This document</w:t>
      </w:r>
      <w:r w:rsidR="00472379" w:rsidRPr="0050011A">
        <w:rPr>
          <w:rFonts w:eastAsia="Times New Roman" w:cs="Arial"/>
          <w:kern w:val="0"/>
          <w:lang w:val="en-GB" w:eastAsia="nl-NL"/>
          <w14:ligatures w14:val="none"/>
        </w:rPr>
        <w:t>,</w:t>
      </w:r>
      <w:r w:rsidRPr="0050011A">
        <w:rPr>
          <w:rFonts w:eastAsia="Times New Roman" w:cs="Arial"/>
          <w:kern w:val="0"/>
          <w:lang w:val="en-GB" w:eastAsia="nl-NL"/>
          <w14:ligatures w14:val="none"/>
        </w:rPr>
        <w:t xml:space="preserve"> therefore</w:t>
      </w:r>
      <w:r w:rsidR="00472379" w:rsidRPr="0050011A">
        <w:rPr>
          <w:rFonts w:eastAsia="Times New Roman" w:cs="Arial"/>
          <w:kern w:val="0"/>
          <w:lang w:val="en-GB" w:eastAsia="nl-NL"/>
          <w14:ligatures w14:val="none"/>
        </w:rPr>
        <w:t>,</w:t>
      </w:r>
      <w:r w:rsidRPr="0050011A">
        <w:rPr>
          <w:rFonts w:eastAsia="Times New Roman" w:cs="Arial"/>
          <w:kern w:val="0"/>
          <w:lang w:val="en-GB" w:eastAsia="nl-NL"/>
          <w14:ligatures w14:val="none"/>
        </w:rPr>
        <w:t xml:space="preserve"> requires ethical assessment as a formal, mandatory approval moment, with a recognised method as its basis.</w:t>
      </w:r>
    </w:p>
    <w:p w14:paraId="484A1224" w14:textId="2F51F328" w:rsidR="00866D77" w:rsidRPr="0050011A" w:rsidRDefault="00CA2593" w:rsidP="00CA2593">
      <w:pPr>
        <w:pStyle w:val="Heading3"/>
        <w:rPr>
          <w:rFonts w:cs="Arial"/>
          <w:color w:val="000000" w:themeColor="text1"/>
          <w:lang w:val="en-GB" w:eastAsia="nl-NL"/>
        </w:rPr>
      </w:pPr>
      <w:bookmarkStart w:id="92" w:name="_Toc1035961436"/>
      <w:r w:rsidRPr="54AD4DA9">
        <w:rPr>
          <w:rFonts w:cs="Arial"/>
          <w:color w:val="000000" w:themeColor="text1"/>
          <w:lang w:val="en-GB" w:eastAsia="nl-NL"/>
        </w:rPr>
        <w:t xml:space="preserve">5.7.1 </w:t>
      </w:r>
      <w:r w:rsidR="00866D77" w:rsidRPr="54AD4DA9">
        <w:rPr>
          <w:rFonts w:cs="Arial"/>
          <w:color w:val="000000" w:themeColor="text1"/>
          <w:lang w:val="en-GB" w:eastAsia="nl-NL"/>
        </w:rPr>
        <w:t>Why a mandatory ethical assessment?</w:t>
      </w:r>
      <w:bookmarkEnd w:id="92"/>
    </w:p>
    <w:p w14:paraId="5CA6DC79" w14:textId="77777777"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Data-driven innovation in public spaces is only socially responsible if the ethical side is genuinely taken into account, especially when the data relates to core services, public space or vulnerable groups. The DS4SSCC Blueprint is clear about this: ethical concerns ranging from surveillance and discrimination to exclusion and lack of transparency can damage public trust and slow down the adoption of data-driven solutions. For Inzicht Verlicht, this is directly relevant. Traffic and air quality data from the J.F. Kennedylaan may seem technical and impersonal at first, but when that data is used to manage traffic flows, support enforcement policy or plan urban infrastructure, it directly affects the daily lives of residents in Eindhoven.</w:t>
      </w:r>
    </w:p>
    <w:p w14:paraId="0864EF4B" w14:textId="77777777"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On top of that, the Blueprint states that all participants in a DS4SSCC dataspace are required to complete a data ethics assessment for data (re)use and associated use cases. This is not a recommendation but a requirement for participation. This framework puts that requirement into practice as a concrete procedural step with a clear method.</w:t>
      </w:r>
    </w:p>
    <w:p w14:paraId="233CC1DA" w14:textId="0BB69B57" w:rsidR="00866D77" w:rsidRPr="0050011A" w:rsidRDefault="00BE4344" w:rsidP="00BE4344">
      <w:pPr>
        <w:pStyle w:val="Heading3"/>
        <w:rPr>
          <w:rFonts w:cs="Arial"/>
          <w:color w:val="000000" w:themeColor="text1"/>
          <w:lang w:val="en-GB" w:eastAsia="nl-NL"/>
        </w:rPr>
      </w:pPr>
      <w:bookmarkStart w:id="93" w:name="_Toc1629831031"/>
      <w:r w:rsidRPr="54AD4DA9">
        <w:rPr>
          <w:rFonts w:cs="Arial"/>
          <w:color w:val="000000" w:themeColor="text1"/>
          <w:lang w:val="en-GB" w:eastAsia="nl-NL"/>
        </w:rPr>
        <w:t xml:space="preserve">5.7.2 </w:t>
      </w:r>
      <w:r w:rsidR="00866D77" w:rsidRPr="54AD4DA9">
        <w:rPr>
          <w:rFonts w:cs="Arial"/>
          <w:color w:val="000000" w:themeColor="text1"/>
          <w:lang w:val="en-GB" w:eastAsia="nl-NL"/>
        </w:rPr>
        <w:t>The method: ALTAI</w:t>
      </w:r>
      <w:bookmarkEnd w:id="93"/>
    </w:p>
    <w:p w14:paraId="6CE5851C" w14:textId="77777777"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The main method for the ethical assessment within this framework is ALTAI, the Assessment List for Trustworthy Artificial Intelligence, developed by the High-Level Expert Group on AI of the European Commission. ALTAI is an EU-recognised standard and covers the topics that are relevant for data governance in smart city contexts: human oversight and control, technical robustness and safety, privacy and data governance, transparency, diversity and non-discrimination, societal and environmental wellbeing, and accountability.</w:t>
      </w:r>
    </w:p>
    <w:p w14:paraId="3C3076DD" w14:textId="77777777"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The DS4SSCC Blueprint names ALTAI as one of the ethical frameworks that smart city dataspaces should use, alongside FRAIA (Fundamental Rights and Algorithms Impact Assessment) and ISO/IEC standards for ethical and social concerns. ALTAI was chosen as the main method for this framework because it connects most directly to the EU context of Inzicht Verlicht and because it offers a structured, publicly available assessment list that can be used without deep technical knowledge.</w:t>
      </w:r>
    </w:p>
    <w:p w14:paraId="2A4CC125" w14:textId="77777777"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In addition, the DS4SSCC ethics assessment template is used as a supporting tool for smart city contexts. The Blueprint notes that this template needs to be further developed for broader use when admitting new dataspace participants. This framework recommends including an adapted version of that template as Appendix C, so that a ready-to-use resource is available.</w:t>
      </w:r>
    </w:p>
    <w:p w14:paraId="5D9A7F82" w14:textId="07979BEC" w:rsidR="00866D77" w:rsidRPr="0050011A" w:rsidRDefault="00BE4344" w:rsidP="00BE4344">
      <w:pPr>
        <w:pStyle w:val="Heading3"/>
        <w:rPr>
          <w:rFonts w:cs="Arial"/>
          <w:color w:val="000000" w:themeColor="text1"/>
          <w:lang w:val="en-GB" w:eastAsia="nl-NL"/>
        </w:rPr>
      </w:pPr>
      <w:bookmarkStart w:id="94" w:name="_Toc1844876254"/>
      <w:r w:rsidRPr="54AD4DA9">
        <w:rPr>
          <w:rFonts w:cs="Arial"/>
          <w:color w:val="000000" w:themeColor="text1"/>
          <w:lang w:val="en-GB" w:eastAsia="nl-NL"/>
        </w:rPr>
        <w:t xml:space="preserve">5.7.3 </w:t>
      </w:r>
      <w:r w:rsidR="00866D77" w:rsidRPr="54AD4DA9">
        <w:rPr>
          <w:rFonts w:cs="Arial"/>
          <w:color w:val="000000" w:themeColor="text1"/>
          <w:lang w:val="en-GB" w:eastAsia="nl-NL"/>
        </w:rPr>
        <w:t>The ethical principles as an assessment framework</w:t>
      </w:r>
      <w:bookmarkEnd w:id="94"/>
    </w:p>
    <w:p w14:paraId="0B1A7A9E" w14:textId="77777777" w:rsidR="00866D77" w:rsidRPr="0050011A" w:rsidRDefault="00866D77" w:rsidP="00866D77">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Alongside the ALTAI method, this framework uses the five Principlism principles that the DS4SSCC Blueprint applies as an ethical framework: respect for persons and self-determination, justice, non-maleficence and beneficence (not causing harm and actively contributing to wellbeing), dignity, and responsibility and accountability. These principles form the reasoning behind every use case assessment. They are not meant as items to tick off, but as questions the assessor must ask: does this use case respect the self-determination of the citizens involved? Is there a risk of unequal treatment or exclusion? Who is responsible if something goes wrong?</w:t>
      </w:r>
    </w:p>
    <w:p w14:paraId="11DEB174" w14:textId="7CDCC4C8" w:rsidR="00866D77" w:rsidRPr="0050011A" w:rsidRDefault="00BE4344" w:rsidP="00BE4344">
      <w:pPr>
        <w:pStyle w:val="Heading3"/>
        <w:rPr>
          <w:rFonts w:cs="Arial"/>
          <w:color w:val="000000" w:themeColor="text1"/>
          <w:lang w:val="en-GB" w:eastAsia="nl-NL"/>
        </w:rPr>
      </w:pPr>
      <w:bookmarkStart w:id="95" w:name="_Toc642471587"/>
      <w:r w:rsidRPr="54AD4DA9">
        <w:rPr>
          <w:rFonts w:cs="Arial"/>
          <w:color w:val="000000" w:themeColor="text1"/>
          <w:lang w:val="en-GB" w:eastAsia="nl-NL"/>
        </w:rPr>
        <w:lastRenderedPageBreak/>
        <w:t xml:space="preserve">5.7.4 </w:t>
      </w:r>
      <w:r w:rsidR="00866D77" w:rsidRPr="54AD4DA9">
        <w:rPr>
          <w:rFonts w:cs="Arial"/>
          <w:color w:val="000000" w:themeColor="text1"/>
          <w:lang w:val="en-GB" w:eastAsia="nl-NL"/>
        </w:rPr>
        <w:t>The procedure</w:t>
      </w:r>
      <w:bookmarkEnd w:id="95"/>
    </w:p>
    <w:p w14:paraId="0C06BC84" w14:textId="77777777" w:rsidR="00C927FE" w:rsidRPr="0050011A" w:rsidRDefault="00C927FE" w:rsidP="00C927FE">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When submitting a new use case or a new data usage, the applicant fills in the ethical assessment form based on the ALTAI framework and the DS4SSCC template. This form is submitted to the Governance Authority or an assessor appointed by them.</w:t>
      </w:r>
    </w:p>
    <w:p w14:paraId="797AC16E" w14:textId="77777777" w:rsidR="00C927FE" w:rsidRPr="0050011A" w:rsidRDefault="00C927FE" w:rsidP="00C927FE">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The assessment works in two steps. The first step is the legal check: does the use case comply with the GDPR, the Data Governance Act and other relevant legislation? If not, the application is rejected immediately. But a positive legal check is not enough to be granted access. A second step always follows: the ethical assessment based on the five Principlism principles.</w:t>
      </w:r>
    </w:p>
    <w:p w14:paraId="755BA2FA" w14:textId="77777777" w:rsidR="00C927FE" w:rsidRPr="0050011A" w:rsidRDefault="00C927FE" w:rsidP="00C927FE">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In that second step, the Governance Authority assesses the use case using questions. Does this use case respect the self-determination of the citizens involved, or are they affected in a way they are unaware of and have no influence over? Is there a risk of unequal treatment or exclusion, for example because the data affects certain groups differently than others? Is it clear who is responsible if something goes wrong, and is that responsibility enforceable? Does the use case actively contribute to the wellbeing of citizens, or is that wellbeing being put aside in favour of another interest? And is the dignity of those involved protected?</w:t>
      </w:r>
    </w:p>
    <w:p w14:paraId="578840FD" w14:textId="77777777" w:rsidR="00C927FE" w:rsidRPr="0050011A" w:rsidRDefault="00C927FE" w:rsidP="00C927FE">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A use case can be legally permitted on all of these points and still be rejected. That is precisely the purpose of the ethical assessment: to catch situations where the law provides no answer, but where the social consequences for citizens require one. If the Governance Authority concludes that a use case does not give a satisfactory answer on one or more of these questions, the application is sent back with a required corrective action. The applicant must then show how the identified ethical issue has been addressed, for example through additional transparency towards citizens, a reduced scope or a shorter retention period. Only once that has been demonstrated does a new assessment take place.</w:t>
      </w:r>
    </w:p>
    <w:p w14:paraId="2132009B" w14:textId="77777777" w:rsidR="00C927FE" w:rsidRPr="0050011A" w:rsidRDefault="00C927FE" w:rsidP="00C927FE">
      <w:pPr>
        <w:spacing w:before="100" w:beforeAutospacing="1" w:after="100" w:afterAutospacing="1" w:line="240" w:lineRule="auto"/>
        <w:rPr>
          <w:rFonts w:eastAsia="Times New Roman" w:cs="Arial"/>
          <w:kern w:val="0"/>
          <w:lang w:val="en-GB" w:eastAsia="nl-NL"/>
          <w14:ligatures w14:val="none"/>
        </w:rPr>
      </w:pPr>
      <w:r w:rsidRPr="0050011A">
        <w:rPr>
          <w:rFonts w:eastAsia="Times New Roman" w:cs="Arial"/>
          <w:kern w:val="0"/>
          <w:lang w:val="en-GB" w:eastAsia="nl-NL"/>
          <w14:ligatures w14:val="none"/>
        </w:rPr>
        <w:t>A negative assessment blocks access until the issue is resolved. There is no alternative path where access is granted without the ethical issues being resolved first.</w:t>
      </w:r>
    </w:p>
    <w:p w14:paraId="3254DDE0" w14:textId="77777777" w:rsidR="009C57B0" w:rsidRPr="0050011A" w:rsidRDefault="009C57B0" w:rsidP="00BA47E1">
      <w:pPr>
        <w:spacing w:before="100" w:beforeAutospacing="1" w:after="100" w:afterAutospacing="1" w:line="240" w:lineRule="auto"/>
        <w:rPr>
          <w:rFonts w:eastAsia="Times New Roman" w:cs="Arial"/>
          <w:kern w:val="0"/>
          <w:lang w:eastAsia="nl-NL"/>
          <w14:ligatures w14:val="none"/>
        </w:rPr>
      </w:pPr>
    </w:p>
    <w:p w14:paraId="6B7C4C39" w14:textId="730A2C67" w:rsidR="009C57B0" w:rsidRPr="0050011A" w:rsidRDefault="0024634A" w:rsidP="0024634A">
      <w:pPr>
        <w:pStyle w:val="Heading3"/>
        <w:rPr>
          <w:rFonts w:cs="Arial"/>
          <w:lang w:eastAsia="nl-NL"/>
        </w:rPr>
      </w:pPr>
      <w:bookmarkStart w:id="96" w:name="_Toc54002402"/>
      <w:r w:rsidRPr="54AD4DA9">
        <w:rPr>
          <w:rFonts w:cs="Arial"/>
          <w:lang w:eastAsia="nl-NL"/>
        </w:rPr>
        <w:t>5.7.5 Citizen Participation</w:t>
      </w:r>
      <w:bookmarkEnd w:id="96"/>
    </w:p>
    <w:p w14:paraId="29A2EE47" w14:textId="7CD0A5F9" w:rsidR="00BA47E1" w:rsidRPr="0050011A" w:rsidRDefault="00BA47E1" w:rsidP="00BA47E1">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Citizens are not participants in the dataspace, but they are the ones who experience the consequences of decisions made based on the data. The DS4SSCC Blueprint identifies citizen participation as a recurring theme within smart city dataspaces and states that transparency about data usage and building trust with citizens are crucial for the broad acceptance of data-driven solutions. To make this practically applicable within the Inzicht Verlicht dataspace, the following measures are introduced.</w:t>
      </w:r>
    </w:p>
    <w:p w14:paraId="6A9BE41F" w14:textId="77777777" w:rsidR="00BA47E1" w:rsidRPr="0050011A" w:rsidRDefault="00BA47E1" w:rsidP="00BA47E1">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First, every new use case that enters the ethical assessment is made public in advance through an accessible channel, such as the municipal website or a dedicated reporting point. This gives citizens the opportunity to respond before a decision is made. The Governance Authority is required to take incoming responses into account in the ethical assessment. This is not a blocking vote, but it ensures that citizens are not excluded from decisions that directly affect them.</w:t>
      </w:r>
    </w:p>
    <w:p w14:paraId="798B5A4A" w14:textId="77777777" w:rsidR="00BA47E1" w:rsidRPr="0050011A" w:rsidRDefault="00BA47E1" w:rsidP="00BA47E1">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Second, citizens, neighbourhood organisations or other social parties can submit a formal objection to the Governance Authority if they believe that an approved use case harms their interests. Examples include a petition from a neighbourhood, a report through an ombudsman or a complaint through the municipal participation procedure. The Governance Authority is required to handle such an objection and respond in writing. If the Governance Authority accepts the objection, an approved use case can be reconsidered.</w:t>
      </w:r>
    </w:p>
    <w:p w14:paraId="7213D1B3" w14:textId="77777777" w:rsidR="00BA47E1" w:rsidRPr="0050011A" w:rsidRDefault="00BA47E1" w:rsidP="00BA47E1">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 xml:space="preserve">Third, an annual public accountability report is drawn up in which the Governance Authority explains to citizens which use cases have been approved, on what basis, and whether any objections were </w:t>
      </w:r>
      <w:r w:rsidRPr="0050011A">
        <w:rPr>
          <w:rFonts w:eastAsia="Times New Roman" w:cs="Arial"/>
          <w:kern w:val="0"/>
          <w:lang w:eastAsia="nl-NL"/>
          <w14:ligatures w14:val="none"/>
        </w:rPr>
        <w:lastRenderedPageBreak/>
        <w:t>received and how these were handled. This connects to the transparency obligation from section 4.2 and the CARE principles from section 4.4, which call for active accountability towards the community whose data is being used.</w:t>
      </w:r>
    </w:p>
    <w:p w14:paraId="6F36187D" w14:textId="77777777" w:rsidR="00866D77" w:rsidRPr="0050011A" w:rsidRDefault="00866D77" w:rsidP="0079393A">
      <w:pPr>
        <w:rPr>
          <w:rFonts w:cs="Arial"/>
          <w:color w:val="FF0000"/>
        </w:rPr>
      </w:pPr>
    </w:p>
    <w:p w14:paraId="4FAD28B5" w14:textId="097EA440" w:rsidR="00F0772C" w:rsidRPr="0050011A" w:rsidRDefault="00F0772C">
      <w:pPr>
        <w:rPr>
          <w:rFonts w:eastAsiaTheme="majorEastAsia" w:cs="Arial"/>
          <w:b/>
          <w:sz w:val="32"/>
          <w:szCs w:val="32"/>
        </w:rPr>
      </w:pPr>
      <w:bookmarkStart w:id="97" w:name="_Toc230347195"/>
      <w:r w:rsidRPr="0050011A">
        <w:rPr>
          <w:rFonts w:cs="Arial"/>
        </w:rPr>
        <w:br w:type="page"/>
      </w:r>
    </w:p>
    <w:p w14:paraId="7FA35F7A" w14:textId="4FC83BDB" w:rsidR="0079393A" w:rsidRPr="0050011A" w:rsidRDefault="0079393A" w:rsidP="0079393A">
      <w:pPr>
        <w:pStyle w:val="Heading2"/>
        <w:rPr>
          <w:rFonts w:cs="Arial"/>
        </w:rPr>
      </w:pPr>
      <w:bookmarkStart w:id="98" w:name="_Toc1872634906"/>
      <w:r w:rsidRPr="54AD4DA9">
        <w:rPr>
          <w:rFonts w:cs="Arial"/>
        </w:rPr>
        <w:lastRenderedPageBreak/>
        <w:t>5.</w:t>
      </w:r>
      <w:r w:rsidR="00B91F3C" w:rsidRPr="54AD4DA9">
        <w:rPr>
          <w:rFonts w:cs="Arial"/>
        </w:rPr>
        <w:t>8</w:t>
      </w:r>
      <w:r w:rsidRPr="54AD4DA9">
        <w:rPr>
          <w:rFonts w:cs="Arial"/>
        </w:rPr>
        <w:t xml:space="preserve"> Incident Response and Enforcement</w:t>
      </w:r>
      <w:bookmarkEnd w:id="97"/>
      <w:bookmarkEnd w:id="98"/>
    </w:p>
    <w:p w14:paraId="7187D06A" w14:textId="44C8513E" w:rsidR="008345CE" w:rsidRPr="0050011A" w:rsidRDefault="008345CE" w:rsidP="008345CE">
      <w:pPr>
        <w:rPr>
          <w:rFonts w:cs="Arial"/>
        </w:rPr>
      </w:pPr>
      <w:r w:rsidRPr="0050011A">
        <w:rPr>
          <w:rFonts w:cs="Arial"/>
        </w:rPr>
        <w:t>The table below functions as a practical incident playbook. Each incident category has its own response route, because the appropriate notification, containment, escalation, and enforcement steps depend on the type of incident.</w:t>
      </w:r>
    </w:p>
    <w:tbl>
      <w:tblPr>
        <w:tblW w:w="11140" w:type="dxa"/>
        <w:jc w:val="center"/>
        <w:tblLook w:val="04A0" w:firstRow="1" w:lastRow="0" w:firstColumn="1" w:lastColumn="0" w:noHBand="0" w:noVBand="1"/>
      </w:tblPr>
      <w:tblGrid>
        <w:gridCol w:w="1780"/>
        <w:gridCol w:w="2060"/>
        <w:gridCol w:w="2440"/>
        <w:gridCol w:w="2280"/>
        <w:gridCol w:w="2580"/>
      </w:tblGrid>
      <w:tr w:rsidR="0029229C" w:rsidRPr="0029229C" w14:paraId="5185C13B" w14:textId="77777777" w:rsidTr="0029229C">
        <w:trPr>
          <w:trHeight w:val="285"/>
          <w:jc w:val="center"/>
        </w:trPr>
        <w:tc>
          <w:tcPr>
            <w:tcW w:w="1780" w:type="dxa"/>
            <w:tcBorders>
              <w:top w:val="single" w:sz="4" w:space="0" w:color="auto"/>
              <w:left w:val="single" w:sz="4" w:space="0" w:color="auto"/>
              <w:bottom w:val="single" w:sz="4" w:space="0" w:color="auto"/>
              <w:right w:val="nil"/>
            </w:tcBorders>
            <w:shd w:val="clear" w:color="000000" w:fill="673366"/>
            <w:vAlign w:val="center"/>
            <w:hideMark/>
          </w:tcPr>
          <w:p w14:paraId="4B95C10C" w14:textId="77777777" w:rsidR="0029229C" w:rsidRPr="0050011A" w:rsidRDefault="0029229C" w:rsidP="0029229C">
            <w:pPr>
              <w:spacing w:after="0" w:line="240" w:lineRule="auto"/>
              <w:jc w:val="center"/>
              <w:rPr>
                <w:rFonts w:eastAsia="Times New Roman" w:cs="Arial"/>
                <w:b/>
                <w:color w:val="FFFFFF"/>
                <w:kern w:val="0"/>
                <w:sz w:val="22"/>
                <w:szCs w:val="22"/>
                <w14:ligatures w14:val="none"/>
              </w:rPr>
            </w:pPr>
            <w:r w:rsidRPr="0050011A">
              <w:rPr>
                <w:rFonts w:eastAsia="Times New Roman" w:cs="Arial"/>
                <w:b/>
                <w:color w:val="FFFFFF"/>
                <w:kern w:val="0"/>
                <w:sz w:val="22"/>
                <w:szCs w:val="22"/>
                <w14:ligatures w14:val="none"/>
              </w:rPr>
              <w:t>Incident Type</w:t>
            </w:r>
          </w:p>
        </w:tc>
        <w:tc>
          <w:tcPr>
            <w:tcW w:w="2060" w:type="dxa"/>
            <w:tcBorders>
              <w:top w:val="single" w:sz="4" w:space="0" w:color="auto"/>
              <w:left w:val="single" w:sz="4" w:space="0" w:color="FFFFFF"/>
              <w:bottom w:val="single" w:sz="4" w:space="0" w:color="auto"/>
              <w:right w:val="single" w:sz="4" w:space="0" w:color="FFFFFF"/>
            </w:tcBorders>
            <w:shd w:val="clear" w:color="000000" w:fill="673366"/>
            <w:vAlign w:val="center"/>
            <w:hideMark/>
          </w:tcPr>
          <w:p w14:paraId="4B1BC2F9" w14:textId="77777777" w:rsidR="0029229C" w:rsidRPr="0050011A" w:rsidRDefault="0029229C" w:rsidP="0029229C">
            <w:pPr>
              <w:spacing w:after="0" w:line="240" w:lineRule="auto"/>
              <w:jc w:val="center"/>
              <w:rPr>
                <w:rFonts w:eastAsia="Times New Roman" w:cs="Arial"/>
                <w:b/>
                <w:color w:val="FFFFFF"/>
                <w:kern w:val="0"/>
                <w:sz w:val="22"/>
                <w:szCs w:val="22"/>
                <w14:ligatures w14:val="none"/>
              </w:rPr>
            </w:pPr>
            <w:r w:rsidRPr="0050011A">
              <w:rPr>
                <w:rFonts w:eastAsia="Times New Roman" w:cs="Arial"/>
                <w:b/>
                <w:color w:val="FFFFFF"/>
                <w:kern w:val="0"/>
                <w:sz w:val="22"/>
                <w:szCs w:val="22"/>
                <w14:ligatures w14:val="none"/>
              </w:rPr>
              <w:t>What this means</w:t>
            </w:r>
          </w:p>
        </w:tc>
        <w:tc>
          <w:tcPr>
            <w:tcW w:w="2440" w:type="dxa"/>
            <w:tcBorders>
              <w:top w:val="single" w:sz="4" w:space="0" w:color="auto"/>
              <w:left w:val="single" w:sz="4" w:space="0" w:color="FFFFFF"/>
              <w:bottom w:val="single" w:sz="4" w:space="0" w:color="auto"/>
              <w:right w:val="single" w:sz="4" w:space="0" w:color="FFFFFF"/>
            </w:tcBorders>
            <w:shd w:val="clear" w:color="000000" w:fill="673366"/>
            <w:vAlign w:val="center"/>
            <w:hideMark/>
          </w:tcPr>
          <w:p w14:paraId="0313AD97" w14:textId="77777777" w:rsidR="0029229C" w:rsidRPr="0050011A" w:rsidRDefault="0029229C" w:rsidP="0029229C">
            <w:pPr>
              <w:spacing w:after="0" w:line="240" w:lineRule="auto"/>
              <w:jc w:val="center"/>
              <w:rPr>
                <w:rFonts w:eastAsia="Times New Roman" w:cs="Arial"/>
                <w:b/>
                <w:color w:val="FFFFFF"/>
                <w:kern w:val="0"/>
                <w:sz w:val="22"/>
                <w:szCs w:val="22"/>
                <w14:ligatures w14:val="none"/>
              </w:rPr>
            </w:pPr>
            <w:r w:rsidRPr="0050011A">
              <w:rPr>
                <w:rFonts w:eastAsia="Times New Roman" w:cs="Arial"/>
                <w:b/>
                <w:color w:val="FFFFFF"/>
                <w:kern w:val="0"/>
                <w:sz w:val="22"/>
                <w:szCs w:val="22"/>
                <w14:ligatures w14:val="none"/>
              </w:rPr>
              <w:t>Immediate response</w:t>
            </w:r>
          </w:p>
        </w:tc>
        <w:tc>
          <w:tcPr>
            <w:tcW w:w="2280" w:type="dxa"/>
            <w:tcBorders>
              <w:top w:val="single" w:sz="4" w:space="0" w:color="auto"/>
              <w:left w:val="single" w:sz="4" w:space="0" w:color="FFFFFF"/>
              <w:bottom w:val="single" w:sz="4" w:space="0" w:color="auto"/>
              <w:right w:val="single" w:sz="4" w:space="0" w:color="FFFFFF"/>
            </w:tcBorders>
            <w:shd w:val="clear" w:color="000000" w:fill="673366"/>
            <w:vAlign w:val="center"/>
            <w:hideMark/>
          </w:tcPr>
          <w:p w14:paraId="24F7393F" w14:textId="77777777" w:rsidR="0029229C" w:rsidRPr="0050011A" w:rsidRDefault="0029229C" w:rsidP="0029229C">
            <w:pPr>
              <w:spacing w:after="0" w:line="240" w:lineRule="auto"/>
              <w:jc w:val="center"/>
              <w:rPr>
                <w:rFonts w:eastAsia="Times New Roman" w:cs="Arial"/>
                <w:b/>
                <w:color w:val="FFFFFF"/>
                <w:kern w:val="0"/>
                <w:sz w:val="22"/>
                <w:szCs w:val="22"/>
                <w14:ligatures w14:val="none"/>
              </w:rPr>
            </w:pPr>
            <w:r w:rsidRPr="0050011A">
              <w:rPr>
                <w:rFonts w:eastAsia="Times New Roman" w:cs="Arial"/>
                <w:b/>
                <w:color w:val="FFFFFF"/>
                <w:kern w:val="0"/>
                <w:sz w:val="22"/>
                <w:szCs w:val="22"/>
                <w14:ligatures w14:val="none"/>
              </w:rPr>
              <w:t>Who is responsible</w:t>
            </w:r>
          </w:p>
        </w:tc>
        <w:tc>
          <w:tcPr>
            <w:tcW w:w="2580" w:type="dxa"/>
            <w:tcBorders>
              <w:top w:val="single" w:sz="4" w:space="0" w:color="auto"/>
              <w:left w:val="single" w:sz="4" w:space="0" w:color="FFFFFF"/>
              <w:bottom w:val="single" w:sz="4" w:space="0" w:color="auto"/>
              <w:right w:val="single" w:sz="4" w:space="0" w:color="auto"/>
            </w:tcBorders>
            <w:shd w:val="clear" w:color="000000" w:fill="673366"/>
            <w:vAlign w:val="center"/>
            <w:hideMark/>
          </w:tcPr>
          <w:p w14:paraId="3B5BF2FE" w14:textId="77777777" w:rsidR="0029229C" w:rsidRPr="0050011A" w:rsidRDefault="0029229C" w:rsidP="0029229C">
            <w:pPr>
              <w:spacing w:after="0" w:line="240" w:lineRule="auto"/>
              <w:jc w:val="center"/>
              <w:rPr>
                <w:rFonts w:eastAsia="Times New Roman" w:cs="Arial"/>
                <w:b/>
                <w:color w:val="FFFFFF"/>
                <w:kern w:val="0"/>
                <w:sz w:val="22"/>
                <w:szCs w:val="22"/>
                <w14:ligatures w14:val="none"/>
              </w:rPr>
            </w:pPr>
            <w:r w:rsidRPr="0050011A">
              <w:rPr>
                <w:rFonts w:eastAsia="Times New Roman" w:cs="Arial"/>
                <w:b/>
                <w:color w:val="FFFFFF"/>
                <w:kern w:val="0"/>
                <w:sz w:val="22"/>
                <w:szCs w:val="22"/>
                <w14:ligatures w14:val="none"/>
              </w:rPr>
              <w:t>Enforcement measure</w:t>
            </w:r>
          </w:p>
        </w:tc>
      </w:tr>
      <w:tr w:rsidR="0029229C" w:rsidRPr="0029229C" w14:paraId="04E30807" w14:textId="77777777" w:rsidTr="0029229C">
        <w:trPr>
          <w:trHeight w:val="1425"/>
          <w:jc w:val="center"/>
        </w:trPr>
        <w:tc>
          <w:tcPr>
            <w:tcW w:w="17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52CECD"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Data Breach &amp; Unauthorized Access</w:t>
            </w:r>
          </w:p>
        </w:tc>
        <w:tc>
          <w:tcPr>
            <w:tcW w:w="20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D44432"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Data is accessed, leaked, changed, or viewed by someone without permission.</w:t>
            </w:r>
          </w:p>
        </w:tc>
        <w:tc>
          <w:tcPr>
            <w:tcW w:w="24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C491511"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Revoke access, secure affected data, preserve logs, assess whether authorities must be notified.</w:t>
            </w:r>
          </w:p>
        </w:tc>
        <w:tc>
          <w:tcPr>
            <w:tcW w:w="22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BA2463"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Reference Person, Coordinating Entity, Governance Authority.</w:t>
            </w:r>
          </w:p>
        </w:tc>
        <w:tc>
          <w:tcPr>
            <w:tcW w:w="2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12C381"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Warning, suspension, access removal, legal reporting.</w:t>
            </w:r>
          </w:p>
        </w:tc>
      </w:tr>
      <w:tr w:rsidR="0029229C" w:rsidRPr="0029229C" w14:paraId="68A81B9C" w14:textId="77777777" w:rsidTr="0029229C">
        <w:trPr>
          <w:trHeight w:val="1425"/>
          <w:jc w:val="center"/>
        </w:trPr>
        <w:tc>
          <w:tcPr>
            <w:tcW w:w="1780" w:type="dxa"/>
            <w:tcBorders>
              <w:top w:val="single" w:sz="4" w:space="0" w:color="auto"/>
              <w:left w:val="single" w:sz="4" w:space="0" w:color="auto"/>
              <w:bottom w:val="single" w:sz="4" w:space="0" w:color="auto"/>
              <w:right w:val="single" w:sz="4" w:space="0" w:color="auto"/>
            </w:tcBorders>
            <w:vAlign w:val="center"/>
            <w:hideMark/>
          </w:tcPr>
          <w:p w14:paraId="14B7B80E"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Re-identification &amp; Privacy Incident</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71CBDCF"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Anonymous data can possibly be linked back to individuals or groups.</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4AAAE67"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Stop sharing the dataset, restrict access, perform re-identification assessment.</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2F17717"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Data Provider, Privacy Officer, Governance Authority.</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47286BE"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Mandatory privacy reassessment, suspension, dataset removal.</w:t>
            </w:r>
          </w:p>
        </w:tc>
      </w:tr>
      <w:tr w:rsidR="0029229C" w:rsidRPr="0029229C" w14:paraId="17AFA4F9" w14:textId="77777777" w:rsidTr="0029229C">
        <w:trPr>
          <w:trHeight w:val="1425"/>
          <w:jc w:val="center"/>
        </w:trPr>
        <w:tc>
          <w:tcPr>
            <w:tcW w:w="17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3821CA" w14:textId="25AC2D4E"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Purpose Limitation &amp; Mission Creep</w:t>
            </w:r>
          </w:p>
        </w:tc>
        <w:tc>
          <w:tcPr>
            <w:tcW w:w="20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750E5C" w14:textId="26ABB268"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Data is used for a purpose that was not originally approved.</w:t>
            </w:r>
          </w:p>
        </w:tc>
        <w:tc>
          <w:tcPr>
            <w:tcW w:w="24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B4C04E"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Stop the use immediately, review the original agreement, require new approval if needed.</w:t>
            </w:r>
          </w:p>
        </w:tc>
        <w:tc>
          <w:tcPr>
            <w:tcW w:w="22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4244DB"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Data User, Coordinating Entity, Governance Authority.</w:t>
            </w:r>
          </w:p>
        </w:tc>
        <w:tc>
          <w:tcPr>
            <w:tcW w:w="2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585B34"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Formal warning, suspension, termination of access.</w:t>
            </w:r>
          </w:p>
        </w:tc>
      </w:tr>
      <w:tr w:rsidR="0029229C" w:rsidRPr="0029229C" w14:paraId="6B3866E5" w14:textId="77777777" w:rsidTr="0029229C">
        <w:trPr>
          <w:trHeight w:val="1140"/>
          <w:jc w:val="center"/>
        </w:trPr>
        <w:tc>
          <w:tcPr>
            <w:tcW w:w="1780" w:type="dxa"/>
            <w:tcBorders>
              <w:top w:val="single" w:sz="4" w:space="0" w:color="auto"/>
              <w:left w:val="single" w:sz="4" w:space="0" w:color="auto"/>
              <w:bottom w:val="single" w:sz="4" w:space="0" w:color="auto"/>
              <w:right w:val="single" w:sz="4" w:space="0" w:color="auto"/>
            </w:tcBorders>
            <w:vAlign w:val="center"/>
            <w:hideMark/>
          </w:tcPr>
          <w:p w14:paraId="48589815"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Ethics &amp; Fairness Incident</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9CF3D3E"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A use case may cause unfair, biased, or harmful outcomes.</w:t>
            </w:r>
          </w:p>
        </w:tc>
        <w:tc>
          <w:tcPr>
            <w:tcW w:w="2440" w:type="dxa"/>
            <w:tcBorders>
              <w:top w:val="single" w:sz="4" w:space="0" w:color="auto"/>
              <w:left w:val="single" w:sz="4" w:space="0" w:color="auto"/>
              <w:bottom w:val="single" w:sz="4" w:space="0" w:color="auto"/>
              <w:right w:val="single" w:sz="4" w:space="0" w:color="auto"/>
            </w:tcBorders>
            <w:vAlign w:val="center"/>
            <w:hideMark/>
          </w:tcPr>
          <w:p w14:paraId="6E6D1E4E"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Pause the use case, conduct ethics review, perform bias assessment.</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B308BAC"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Ethics Review Process, Governance Authority.</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06B30B5"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Corrective action plan, temporary suspension, withdrawal of approval.</w:t>
            </w:r>
          </w:p>
        </w:tc>
      </w:tr>
      <w:tr w:rsidR="0029229C" w:rsidRPr="0029229C" w14:paraId="37BBD178" w14:textId="77777777" w:rsidTr="0029229C">
        <w:trPr>
          <w:trHeight w:val="1140"/>
          <w:jc w:val="center"/>
        </w:trPr>
        <w:tc>
          <w:tcPr>
            <w:tcW w:w="17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DD0428B"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Governance &amp; Accountability Failure</w:t>
            </w:r>
          </w:p>
        </w:tc>
        <w:tc>
          <w:tcPr>
            <w:tcW w:w="20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95C94D"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It is unclear who is responsible for a decision, dataset, or incident.</w:t>
            </w:r>
          </w:p>
        </w:tc>
        <w:tc>
          <w:tcPr>
            <w:tcW w:w="24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588416"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Assign temporary responsibility, document the issue, clarify roles.</w:t>
            </w:r>
          </w:p>
        </w:tc>
        <w:tc>
          <w:tcPr>
            <w:tcW w:w="22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D0162A"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Coordinating Entity, Governance Authority.</w:t>
            </w:r>
          </w:p>
        </w:tc>
        <w:tc>
          <w:tcPr>
            <w:tcW w:w="2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EEF864"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Governance review, mandatory process update.</w:t>
            </w:r>
          </w:p>
        </w:tc>
      </w:tr>
      <w:tr w:rsidR="0029229C" w:rsidRPr="0029229C" w14:paraId="2AFBBF4A" w14:textId="77777777" w:rsidTr="0029229C">
        <w:trPr>
          <w:trHeight w:val="1425"/>
          <w:jc w:val="center"/>
        </w:trPr>
        <w:tc>
          <w:tcPr>
            <w:tcW w:w="1780" w:type="dxa"/>
            <w:tcBorders>
              <w:top w:val="single" w:sz="4" w:space="0" w:color="auto"/>
              <w:left w:val="single" w:sz="4" w:space="0" w:color="auto"/>
              <w:bottom w:val="single" w:sz="4" w:space="0" w:color="auto"/>
              <w:right w:val="single" w:sz="4" w:space="0" w:color="auto"/>
            </w:tcBorders>
            <w:vAlign w:val="center"/>
            <w:hideMark/>
          </w:tcPr>
          <w:p w14:paraId="3B5FCAD3"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Audit, Logging &amp; Monitoring Failure</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4F4DF82"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Data usage cannot be checked because logs are missing or incomplete.</w:t>
            </w:r>
          </w:p>
        </w:tc>
        <w:tc>
          <w:tcPr>
            <w:tcW w:w="2440" w:type="dxa"/>
            <w:tcBorders>
              <w:top w:val="single" w:sz="4" w:space="0" w:color="auto"/>
              <w:left w:val="single" w:sz="4" w:space="0" w:color="auto"/>
              <w:bottom w:val="single" w:sz="4" w:space="0" w:color="auto"/>
              <w:right w:val="single" w:sz="4" w:space="0" w:color="auto"/>
            </w:tcBorders>
            <w:vAlign w:val="center"/>
            <w:hideMark/>
          </w:tcPr>
          <w:p w14:paraId="212F7CC8"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Secure available records, restore logging, check whether misuse occurred.</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5D2D67B"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Coordinating Entity, technical operator, Governance Authority.</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47AEDA5"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Compliance review, temporary restrictions, mandatory logging improvement.</w:t>
            </w:r>
          </w:p>
        </w:tc>
      </w:tr>
      <w:tr w:rsidR="0029229C" w:rsidRPr="0029229C" w14:paraId="508353BD" w14:textId="77777777" w:rsidTr="0029229C">
        <w:trPr>
          <w:trHeight w:val="1425"/>
          <w:jc w:val="center"/>
        </w:trPr>
        <w:tc>
          <w:tcPr>
            <w:tcW w:w="17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E6468A"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Municipal Dual-Role / Conflict-of-Interest</w:t>
            </w:r>
          </w:p>
        </w:tc>
        <w:tc>
          <w:tcPr>
            <w:tcW w:w="20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2CC8A5"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The municipality acts as both data holder and main user, creating a neutrality risk.</w:t>
            </w:r>
          </w:p>
        </w:tc>
        <w:tc>
          <w:tcPr>
            <w:tcW w:w="24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1A1160"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Pause the decision, request independent review, document justification.</w:t>
            </w:r>
          </w:p>
        </w:tc>
        <w:tc>
          <w:tcPr>
            <w:tcW w:w="22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3194287"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Governance Authority, independent reviewer.</w:t>
            </w:r>
          </w:p>
        </w:tc>
        <w:tc>
          <w:tcPr>
            <w:tcW w:w="2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1A06CB"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Reversal of decision, extra oversight, governance restructuring.</w:t>
            </w:r>
          </w:p>
        </w:tc>
      </w:tr>
      <w:tr w:rsidR="0029229C" w:rsidRPr="0029229C" w14:paraId="1613EFFE" w14:textId="77777777" w:rsidTr="0029229C">
        <w:trPr>
          <w:trHeight w:val="1425"/>
          <w:jc w:val="center"/>
        </w:trPr>
        <w:tc>
          <w:tcPr>
            <w:tcW w:w="1780" w:type="dxa"/>
            <w:tcBorders>
              <w:top w:val="single" w:sz="4" w:space="0" w:color="auto"/>
              <w:left w:val="single" w:sz="4" w:space="0" w:color="auto"/>
              <w:bottom w:val="single" w:sz="4" w:space="0" w:color="auto"/>
              <w:right w:val="single" w:sz="4" w:space="0" w:color="auto"/>
            </w:tcBorders>
            <w:vAlign w:val="center"/>
            <w:hideMark/>
          </w:tcPr>
          <w:p w14:paraId="59306A20"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Agreement, Compliance &amp; Legal Violation</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164401E"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A participant breaks a data-sharing agreement or legal requirement.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6DFC875A"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Suspend the activity, investigate the breach, involve legal stakeholders if needed.</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BE17A57"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Governance Authority, legal stakeholders.</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41F0BC8" w14:textId="77777777" w:rsidR="0029229C" w:rsidRPr="0050011A" w:rsidRDefault="0029229C" w:rsidP="0029229C">
            <w:pPr>
              <w:spacing w:after="0" w:line="240" w:lineRule="auto"/>
              <w:rPr>
                <w:rFonts w:eastAsia="Times New Roman" w:cs="Arial"/>
                <w:color w:val="000000"/>
                <w:kern w:val="0"/>
                <w:sz w:val="22"/>
                <w:szCs w:val="22"/>
                <w14:ligatures w14:val="none"/>
              </w:rPr>
            </w:pPr>
            <w:r w:rsidRPr="0050011A">
              <w:rPr>
                <w:rFonts w:eastAsia="Times New Roman" w:cs="Arial"/>
                <w:color w:val="000000"/>
                <w:kern w:val="0"/>
                <w:sz w:val="22"/>
                <w:szCs w:val="22"/>
                <w14:ligatures w14:val="none"/>
              </w:rPr>
              <w:t>Warning, suspension, termination of participation, legal action.</w:t>
            </w:r>
          </w:p>
        </w:tc>
      </w:tr>
    </w:tbl>
    <w:p w14:paraId="24EFC79D" w14:textId="45CB4848" w:rsidR="00FF730B" w:rsidRPr="0050011A" w:rsidRDefault="00FF730B" w:rsidP="001B1CBB">
      <w:pPr>
        <w:rPr>
          <w:rFonts w:cs="Arial"/>
        </w:rPr>
      </w:pPr>
    </w:p>
    <w:p w14:paraId="10F35662" w14:textId="77777777" w:rsidR="00623B88" w:rsidRPr="0050011A" w:rsidRDefault="00623B88">
      <w:pPr>
        <w:rPr>
          <w:rFonts w:cs="Arial"/>
          <w:color w:val="FF0000"/>
        </w:rPr>
      </w:pPr>
      <w:bookmarkStart w:id="99" w:name="_Toc230347196"/>
      <w:r w:rsidRPr="0050011A">
        <w:rPr>
          <w:rFonts w:cs="Arial"/>
          <w:color w:val="FF0000"/>
        </w:rPr>
        <w:br w:type="page"/>
      </w:r>
    </w:p>
    <w:p w14:paraId="17FB5D44" w14:textId="28424239" w:rsidR="00E612DD" w:rsidRPr="0050011A" w:rsidRDefault="00E612DD" w:rsidP="00E612DD">
      <w:pPr>
        <w:rPr>
          <w:rFonts w:cs="Arial"/>
        </w:rPr>
      </w:pPr>
      <w:bookmarkStart w:id="100" w:name="_Toc1103382842"/>
      <w:r w:rsidRPr="54AD4DA9">
        <w:rPr>
          <w:rStyle w:val="Heading1Char"/>
          <w:rFonts w:cs="Arial"/>
        </w:rPr>
        <w:lastRenderedPageBreak/>
        <w:t>6. KPI Framework</w:t>
      </w:r>
      <w:bookmarkEnd w:id="99"/>
      <w:bookmarkEnd w:id="100"/>
      <w:r w:rsidRPr="54AD4DA9">
        <w:rPr>
          <w:rFonts w:cs="Arial"/>
        </w:rPr>
        <w:t xml:space="preserve"> </w:t>
      </w:r>
    </w:p>
    <w:p w14:paraId="0AB8D39D" w14:textId="6FBC827C" w:rsidR="00797F85" w:rsidRPr="0050011A" w:rsidRDefault="00797F85" w:rsidP="00797F85">
      <w:pPr>
        <w:pStyle w:val="Heading2"/>
        <w:rPr>
          <w:rFonts w:cs="Arial"/>
        </w:rPr>
      </w:pPr>
      <w:bookmarkStart w:id="101" w:name="_Toc230347197"/>
      <w:bookmarkStart w:id="102" w:name="_Toc886540324"/>
      <w:r w:rsidRPr="54AD4DA9">
        <w:rPr>
          <w:rFonts w:cs="Arial"/>
        </w:rPr>
        <w:t>6.1 Purpose of the KPI Framework</w:t>
      </w:r>
      <w:bookmarkEnd w:id="101"/>
      <w:bookmarkEnd w:id="102"/>
      <w:r w:rsidR="007C0902" w:rsidRPr="54AD4DA9">
        <w:rPr>
          <w:rFonts w:cs="Arial"/>
        </w:rPr>
        <w:t xml:space="preserve"> </w:t>
      </w:r>
    </w:p>
    <w:p w14:paraId="7870DD9A" w14:textId="381C8467" w:rsidR="007E3973" w:rsidRPr="0050011A" w:rsidRDefault="00E81C52" w:rsidP="00487BD1">
      <w:pPr>
        <w:rPr>
          <w:rFonts w:cs="Arial"/>
        </w:rPr>
      </w:pPr>
      <w:bookmarkStart w:id="103" w:name="_Toc230347198"/>
      <w:r w:rsidRPr="0050011A">
        <w:rPr>
          <w:rFonts w:cs="Arial"/>
        </w:rPr>
        <w:t>Defining governance roles and legal obligations is necessary, but it is not sufficient. A framework that cannot</w:t>
      </w:r>
      <w:r w:rsidR="00E32DE1" w:rsidRPr="0050011A">
        <w:rPr>
          <w:rFonts w:cs="Arial"/>
        </w:rPr>
        <w:t xml:space="preserve"> be evaluated cannot be trusted. The KPIs presente</w:t>
      </w:r>
      <w:r w:rsidR="00DC3DA2" w:rsidRPr="0050011A">
        <w:rPr>
          <w:rFonts w:cs="Arial"/>
        </w:rPr>
        <w:t xml:space="preserve">d </w:t>
      </w:r>
      <w:r w:rsidR="00A044E4" w:rsidRPr="0050011A">
        <w:rPr>
          <w:rFonts w:cs="Arial"/>
        </w:rPr>
        <w:t>in t</w:t>
      </w:r>
      <w:r w:rsidR="008129F3" w:rsidRPr="0050011A">
        <w:rPr>
          <w:rFonts w:cs="Arial"/>
        </w:rPr>
        <w:t>his section</w:t>
      </w:r>
      <w:r w:rsidR="00DC3DA2" w:rsidRPr="0050011A">
        <w:rPr>
          <w:rFonts w:cs="Arial"/>
        </w:rPr>
        <w:t xml:space="preserve"> serve </w:t>
      </w:r>
      <w:r w:rsidR="00B92F2B" w:rsidRPr="0050011A">
        <w:rPr>
          <w:rFonts w:cs="Arial"/>
        </w:rPr>
        <w:t xml:space="preserve">two distinct purposes: they give </w:t>
      </w:r>
      <w:r w:rsidR="00A044E4" w:rsidRPr="0050011A">
        <w:rPr>
          <w:rFonts w:cs="Arial"/>
        </w:rPr>
        <w:t>the organizations operating the dataspace</w:t>
      </w:r>
      <w:r w:rsidR="00E57968" w:rsidRPr="0050011A">
        <w:rPr>
          <w:rFonts w:cs="Arial"/>
        </w:rPr>
        <w:t xml:space="preserve"> the tools to monitor whether governance is functioning as inte</w:t>
      </w:r>
      <w:r w:rsidR="007F4850" w:rsidRPr="0050011A">
        <w:rPr>
          <w:rFonts w:cs="Arial"/>
        </w:rPr>
        <w:t>nded, and they give policymakers the means to hold those organizations accountable for</w:t>
      </w:r>
      <w:r w:rsidR="00F474C3" w:rsidRPr="0050011A">
        <w:rPr>
          <w:rFonts w:cs="Arial"/>
        </w:rPr>
        <w:t xml:space="preserve"> the commi</w:t>
      </w:r>
      <w:r w:rsidR="003115ED" w:rsidRPr="0050011A">
        <w:rPr>
          <w:rFonts w:cs="Arial"/>
        </w:rPr>
        <w:t>tments they have.</w:t>
      </w:r>
    </w:p>
    <w:p w14:paraId="3C281FE3" w14:textId="5D0F9DB3" w:rsidR="003115ED" w:rsidRPr="0050011A" w:rsidRDefault="003115ED" w:rsidP="00487BD1">
      <w:pPr>
        <w:rPr>
          <w:rFonts w:cs="Arial"/>
        </w:rPr>
      </w:pPr>
      <w:r w:rsidRPr="0050011A">
        <w:rPr>
          <w:rFonts w:cs="Arial"/>
        </w:rPr>
        <w:t xml:space="preserve">This second purpose matters as much as the first. Accountability to policymakers is not the same as internal compliance monitoring. It requires that governance outcomes are visible beyond the organizations directly involved, that there is something external parties can point </w:t>
      </w:r>
      <w:r w:rsidR="008A2D3E" w:rsidRPr="0050011A">
        <w:rPr>
          <w:rFonts w:cs="Arial"/>
        </w:rPr>
        <w:t>out</w:t>
      </w:r>
      <w:r w:rsidRPr="0050011A">
        <w:rPr>
          <w:rFonts w:cs="Arial"/>
        </w:rPr>
        <w:t xml:space="preserve"> to, question, and if necessary, do.</w:t>
      </w:r>
    </w:p>
    <w:p w14:paraId="3F40B220" w14:textId="0B0E57EC" w:rsidR="003115ED" w:rsidRPr="0050011A" w:rsidRDefault="008A2D3E" w:rsidP="00487BD1">
      <w:pPr>
        <w:rPr>
          <w:rFonts w:cs="Arial"/>
        </w:rPr>
      </w:pPr>
      <w:r w:rsidRPr="0050011A">
        <w:rPr>
          <w:rFonts w:cs="Arial"/>
        </w:rPr>
        <w:t>Underlying both purposes is a more fundamental principle: an ethical commitment that cannot be evaluated is a</w:t>
      </w:r>
      <w:r w:rsidR="00A1450F" w:rsidRPr="0050011A">
        <w:rPr>
          <w:rFonts w:cs="Arial"/>
        </w:rPr>
        <w:t xml:space="preserve">n </w:t>
      </w:r>
      <w:r w:rsidR="00D43C75" w:rsidRPr="0050011A">
        <w:rPr>
          <w:rFonts w:cs="Arial"/>
        </w:rPr>
        <w:t>aim</w:t>
      </w:r>
      <w:r w:rsidR="00A1450F" w:rsidRPr="0050011A">
        <w:rPr>
          <w:rFonts w:cs="Arial"/>
        </w:rPr>
        <w:t>, not a requirement.</w:t>
      </w:r>
      <w:r w:rsidR="00D43C75" w:rsidRPr="0050011A">
        <w:rPr>
          <w:rFonts w:cs="Arial"/>
        </w:rPr>
        <w:t xml:space="preserve"> The values embedded in this </w:t>
      </w:r>
      <w:r w:rsidR="00542E68" w:rsidRPr="0050011A">
        <w:rPr>
          <w:rFonts w:cs="Arial"/>
        </w:rPr>
        <w:t xml:space="preserve">framework, fairness, transparency, privacy protection, public benefit, only become enforceable when they are translated into something measurable. KPIs are the mechanism through which </w:t>
      </w:r>
      <w:r w:rsidR="007061A5" w:rsidRPr="0050011A">
        <w:rPr>
          <w:rFonts w:cs="Arial"/>
        </w:rPr>
        <w:t>that translation happens. They do not replace ethical judgement, but they make it possible to ask, at any point, whether the framework is living up to what it promises.</w:t>
      </w:r>
    </w:p>
    <w:p w14:paraId="499FFB88" w14:textId="0087772F" w:rsidR="007061A5" w:rsidRPr="0050011A" w:rsidRDefault="00155FCD" w:rsidP="00487BD1">
      <w:pPr>
        <w:rPr>
          <w:rFonts w:cs="Arial"/>
        </w:rPr>
      </w:pPr>
      <w:r w:rsidRPr="0050011A">
        <w:rPr>
          <w:rFonts w:cs="Arial"/>
        </w:rPr>
        <w:t xml:space="preserve">This project is </w:t>
      </w:r>
      <w:r w:rsidR="00BC0D1E" w:rsidRPr="0050011A">
        <w:rPr>
          <w:rFonts w:cs="Arial"/>
        </w:rPr>
        <w:t>ad</w:t>
      </w:r>
      <w:r w:rsidR="00D07DCD" w:rsidRPr="0050011A">
        <w:rPr>
          <w:rFonts w:cs="Arial"/>
        </w:rPr>
        <w:t>visory in nature, most of the KPIs defined below cannot be measured by the project itself. Metrics such as incident counts, audit frequencies, compliance rates, and stakeholder satisfaction scores only generate meaningful data once the framework is actively in use. They are defined here as a measurement agenda for the organizations that adopt this framework</w:t>
      </w:r>
      <w:r w:rsidR="00C02BDD" w:rsidRPr="0050011A">
        <w:rPr>
          <w:rFonts w:cs="Arial"/>
        </w:rPr>
        <w:t xml:space="preserve">, a set of questions they should be able to answer from the moment the dataspace goes live, not indicators the </w:t>
      </w:r>
      <w:r w:rsidR="001802A6" w:rsidRPr="0050011A">
        <w:rPr>
          <w:rFonts w:cs="Arial"/>
        </w:rPr>
        <w:t>project can report on independently. Where partial assessment is possible within the project’s scope, this is noted.</w:t>
      </w:r>
    </w:p>
    <w:p w14:paraId="132A0563" w14:textId="7D9B0734" w:rsidR="001802A6" w:rsidRPr="0050011A" w:rsidRDefault="00D61B6E" w:rsidP="001802A6">
      <w:pPr>
        <w:pStyle w:val="Heading3"/>
        <w:rPr>
          <w:rFonts w:cs="Arial"/>
        </w:rPr>
      </w:pPr>
      <w:bookmarkStart w:id="104" w:name="_Toc416340210"/>
      <w:r w:rsidRPr="54AD4DA9">
        <w:rPr>
          <w:rFonts w:cs="Arial"/>
        </w:rPr>
        <w:t>6.</w:t>
      </w:r>
      <w:r w:rsidR="00D1182F" w:rsidRPr="54AD4DA9">
        <w:rPr>
          <w:rFonts w:cs="Arial"/>
        </w:rPr>
        <w:t>1</w:t>
      </w:r>
      <w:r w:rsidRPr="54AD4DA9">
        <w:rPr>
          <w:rFonts w:cs="Arial"/>
        </w:rPr>
        <w:t xml:space="preserve">.1 </w:t>
      </w:r>
      <w:r w:rsidR="007E7522" w:rsidRPr="54AD4DA9">
        <w:rPr>
          <w:rFonts w:cs="Arial"/>
        </w:rPr>
        <w:t>Compliance and Ethical Use</w:t>
      </w:r>
      <w:bookmarkEnd w:id="104"/>
    </w:p>
    <w:p w14:paraId="6B6AF7FD" w14:textId="669FB9BD" w:rsidR="00D354D7" w:rsidRPr="0050011A" w:rsidRDefault="00D354D7" w:rsidP="00D354D7">
      <w:pPr>
        <w:rPr>
          <w:rFonts w:cs="Arial"/>
        </w:rPr>
      </w:pPr>
      <w:r w:rsidRPr="0050011A">
        <w:rPr>
          <w:rFonts w:cs="Arial"/>
        </w:rPr>
        <w:t xml:space="preserve">Whether obligations are being met in </w:t>
      </w:r>
      <w:r w:rsidR="00955F24" w:rsidRPr="0050011A">
        <w:rPr>
          <w:rFonts w:cs="Arial"/>
        </w:rPr>
        <w:t>practice, not just on paper.</w:t>
      </w:r>
    </w:p>
    <w:p w14:paraId="1F2F33EB" w14:textId="72D11911" w:rsidR="00955F24" w:rsidRPr="0050011A" w:rsidRDefault="00955F24" w:rsidP="00D354D7">
      <w:pPr>
        <w:rPr>
          <w:rFonts w:cs="Arial"/>
        </w:rPr>
      </w:pPr>
      <w:r w:rsidRPr="0050011A">
        <w:rPr>
          <w:rFonts w:cs="Arial"/>
        </w:rPr>
        <w:t>Responsible data use requires more than having the right rules in place, it requires that those rules are followed. This dimension captures whether data usage aligns with defined governance protocols, whether datasets have a clear and documented legal basis, and whether ethical risks are being identified and addressed rather than ignored.</w:t>
      </w:r>
    </w:p>
    <w:p w14:paraId="673425B6" w14:textId="48B0B3C1" w:rsidR="00955F24" w:rsidRPr="0050011A" w:rsidRDefault="002067C0" w:rsidP="00D354D7">
      <w:pPr>
        <w:rPr>
          <w:rFonts w:cs="Arial"/>
        </w:rPr>
      </w:pPr>
      <w:r w:rsidRPr="0050011A">
        <w:rPr>
          <w:rFonts w:cs="Arial"/>
          <w:i/>
        </w:rPr>
        <w:t>I</w:t>
      </w:r>
      <w:r w:rsidR="003B45D5" w:rsidRPr="0050011A">
        <w:rPr>
          <w:rFonts w:cs="Arial"/>
          <w:i/>
        </w:rPr>
        <w:t>ndicators</w:t>
      </w:r>
      <w:r w:rsidR="003B45D5" w:rsidRPr="0050011A">
        <w:rPr>
          <w:rFonts w:cs="Arial"/>
        </w:rPr>
        <w:t xml:space="preserve">: proportion of data usage </w:t>
      </w:r>
      <w:r w:rsidR="00BF2F58" w:rsidRPr="0050011A">
        <w:rPr>
          <w:rFonts w:cs="Arial"/>
        </w:rPr>
        <w:t>cases compliant with governance protocols</w:t>
      </w:r>
      <w:r w:rsidR="00E32321" w:rsidRPr="0050011A">
        <w:rPr>
          <w:rFonts w:cs="Arial"/>
        </w:rPr>
        <w:t xml:space="preserve">; number of reported misuse incidents; proportion of datasets with a documented legal basis under GDPR; number of ethical risks identified versus </w:t>
      </w:r>
      <w:r w:rsidR="002F35F8" w:rsidRPr="0050011A">
        <w:rPr>
          <w:rFonts w:cs="Arial"/>
        </w:rPr>
        <w:t>those act</w:t>
      </w:r>
      <w:r w:rsidR="00B92F16" w:rsidRPr="0050011A">
        <w:rPr>
          <w:rFonts w:cs="Arial"/>
        </w:rPr>
        <w:t>ive</w:t>
      </w:r>
      <w:r w:rsidR="00200B14" w:rsidRPr="0050011A">
        <w:rPr>
          <w:rFonts w:cs="Arial"/>
        </w:rPr>
        <w:t xml:space="preserve">ly </w:t>
      </w:r>
      <w:r w:rsidR="00953B6D" w:rsidRPr="0050011A">
        <w:rPr>
          <w:rFonts w:cs="Arial"/>
        </w:rPr>
        <w:t>mitigated</w:t>
      </w:r>
      <w:r w:rsidR="00200B14" w:rsidRPr="0050011A">
        <w:rPr>
          <w:rFonts w:cs="Arial"/>
        </w:rPr>
        <w:t>.</w:t>
      </w:r>
    </w:p>
    <w:p w14:paraId="61B5941F" w14:textId="66633DC0" w:rsidR="00200B14" w:rsidRPr="0050011A" w:rsidRDefault="00200B14" w:rsidP="00D354D7">
      <w:pPr>
        <w:rPr>
          <w:rFonts w:cs="Arial"/>
        </w:rPr>
      </w:pPr>
      <w:r w:rsidRPr="0050011A">
        <w:rPr>
          <w:rFonts w:cs="Arial"/>
          <w:i/>
        </w:rPr>
        <w:t>Measurability</w:t>
      </w:r>
      <w:r w:rsidRPr="0050011A">
        <w:rPr>
          <w:rFonts w:cs="Arial"/>
        </w:rPr>
        <w:t xml:space="preserve">: </w:t>
      </w:r>
      <w:r w:rsidR="00237D06" w:rsidRPr="0050011A">
        <w:rPr>
          <w:rFonts w:cs="Arial"/>
        </w:rPr>
        <w:t xml:space="preserve">Compliance rates and incident figures depend on the adopting </w:t>
      </w:r>
      <w:r w:rsidR="008A1CF8" w:rsidRPr="0050011A">
        <w:rPr>
          <w:rFonts w:cs="Arial"/>
        </w:rPr>
        <w:t>organization’s</w:t>
      </w:r>
      <w:r w:rsidR="00237D06" w:rsidRPr="0050011A">
        <w:rPr>
          <w:rFonts w:cs="Arial"/>
        </w:rPr>
        <w:t xml:space="preserve"> </w:t>
      </w:r>
      <w:r w:rsidR="008A1CF8" w:rsidRPr="0050011A">
        <w:rPr>
          <w:rFonts w:cs="Arial"/>
        </w:rPr>
        <w:t>own reporting infrastructure. The project defines what should be tracked and how, generating numbers</w:t>
      </w:r>
      <w:r w:rsidR="00237D06" w:rsidRPr="0050011A">
        <w:rPr>
          <w:rFonts w:cs="Arial"/>
        </w:rPr>
        <w:t xml:space="preserve"> </w:t>
      </w:r>
      <w:r w:rsidR="00BA5151" w:rsidRPr="0050011A">
        <w:rPr>
          <w:rFonts w:cs="Arial"/>
        </w:rPr>
        <w:t>is the responsibility of those operating the framework.</w:t>
      </w:r>
    </w:p>
    <w:p w14:paraId="6C279FCA" w14:textId="54AC1C91" w:rsidR="00935E12" w:rsidRPr="0050011A" w:rsidRDefault="00935E12" w:rsidP="00935E12">
      <w:pPr>
        <w:pStyle w:val="Heading3"/>
        <w:rPr>
          <w:rFonts w:cs="Arial"/>
        </w:rPr>
      </w:pPr>
      <w:bookmarkStart w:id="105" w:name="_Toc1964014251"/>
      <w:r w:rsidRPr="54AD4DA9">
        <w:rPr>
          <w:rFonts w:cs="Arial"/>
        </w:rPr>
        <w:t>6.</w:t>
      </w:r>
      <w:r w:rsidR="00D1182F" w:rsidRPr="54AD4DA9">
        <w:rPr>
          <w:rFonts w:cs="Arial"/>
        </w:rPr>
        <w:t>1</w:t>
      </w:r>
      <w:r w:rsidRPr="54AD4DA9">
        <w:rPr>
          <w:rFonts w:cs="Arial"/>
        </w:rPr>
        <w:t>.2 Transparency</w:t>
      </w:r>
      <w:bookmarkEnd w:id="105"/>
    </w:p>
    <w:p w14:paraId="73B2AEB1" w14:textId="1A65DDC9" w:rsidR="00935E12" w:rsidRPr="0050011A" w:rsidRDefault="00935E12" w:rsidP="00935E12">
      <w:pPr>
        <w:rPr>
          <w:rFonts w:cs="Arial"/>
        </w:rPr>
      </w:pPr>
      <w:r w:rsidRPr="0050011A">
        <w:rPr>
          <w:rFonts w:cs="Arial"/>
        </w:rPr>
        <w:t>Whether stakeholders understand what is happening with data.</w:t>
      </w:r>
    </w:p>
    <w:p w14:paraId="273CBA75" w14:textId="6CF1C10E" w:rsidR="00935E12" w:rsidRPr="0050011A" w:rsidRDefault="00935E12" w:rsidP="00935E12">
      <w:pPr>
        <w:rPr>
          <w:rFonts w:cs="Arial"/>
        </w:rPr>
      </w:pPr>
      <w:r w:rsidRPr="0050011A">
        <w:rPr>
          <w:rFonts w:cs="Arial"/>
        </w:rPr>
        <w:t xml:space="preserve">Transparency is not </w:t>
      </w:r>
      <w:r w:rsidR="00734070" w:rsidRPr="0050011A">
        <w:rPr>
          <w:rFonts w:cs="Arial"/>
        </w:rPr>
        <w:t>an</w:t>
      </w:r>
      <w:r w:rsidRPr="0050011A">
        <w:rPr>
          <w:rFonts w:cs="Arial"/>
        </w:rPr>
        <w:t xml:space="preserve"> </w:t>
      </w:r>
      <w:r w:rsidR="00734070" w:rsidRPr="0050011A">
        <w:rPr>
          <w:rFonts w:cs="Arial"/>
        </w:rPr>
        <w:t>organizational formality. It is the foundation on which trust between participants, and between the dataspace and the public, is built. If stakeholders</w:t>
      </w:r>
      <w:r w:rsidR="007C7ECB" w:rsidRPr="0050011A">
        <w:rPr>
          <w:rFonts w:cs="Arial"/>
        </w:rPr>
        <w:t xml:space="preserve"> cannot understand what data is used for, by whom, and on what basis, then informed participation and genuine accountability are both </w:t>
      </w:r>
      <w:r w:rsidR="00DF0664" w:rsidRPr="0050011A">
        <w:rPr>
          <w:rFonts w:cs="Arial"/>
        </w:rPr>
        <w:t>impossible.</w:t>
      </w:r>
    </w:p>
    <w:p w14:paraId="2ECBC6E8" w14:textId="6BE99827" w:rsidR="00DF0664" w:rsidRPr="0050011A" w:rsidRDefault="00DF0664" w:rsidP="00935E12">
      <w:pPr>
        <w:rPr>
          <w:rFonts w:cs="Arial"/>
        </w:rPr>
      </w:pPr>
      <w:r w:rsidRPr="0050011A">
        <w:rPr>
          <w:rFonts w:cs="Arial"/>
          <w:i/>
        </w:rPr>
        <w:lastRenderedPageBreak/>
        <w:t>Indicators</w:t>
      </w:r>
      <w:r w:rsidRPr="0050011A">
        <w:rPr>
          <w:rFonts w:cs="Arial"/>
        </w:rPr>
        <w:t>: proport</w:t>
      </w:r>
      <w:r w:rsidR="00B77B02" w:rsidRPr="0050011A">
        <w:rPr>
          <w:rFonts w:cs="Arial"/>
        </w:rPr>
        <w:t>ion of data process</w:t>
      </w:r>
      <w:r w:rsidR="00964076" w:rsidRPr="0050011A">
        <w:rPr>
          <w:rFonts w:cs="Arial"/>
        </w:rPr>
        <w:t>es documented</w:t>
      </w:r>
      <w:r w:rsidR="00F127AE" w:rsidRPr="0050011A">
        <w:rPr>
          <w:rFonts w:cs="Arial"/>
        </w:rPr>
        <w:t xml:space="preserve"> and accessible to relevant</w:t>
      </w:r>
      <w:r w:rsidR="0010245D" w:rsidRPr="0050011A">
        <w:rPr>
          <w:rFonts w:cs="Arial"/>
        </w:rPr>
        <w:t xml:space="preserve"> stakeholders; stakeholder</w:t>
      </w:r>
      <w:r w:rsidR="001C0AAA" w:rsidRPr="0050011A">
        <w:rPr>
          <w:rFonts w:cs="Arial"/>
        </w:rPr>
        <w:t xml:space="preserve"> satisfaction with data</w:t>
      </w:r>
      <w:r w:rsidR="00313A99" w:rsidRPr="0050011A">
        <w:rPr>
          <w:rFonts w:cs="Arial"/>
        </w:rPr>
        <w:t xml:space="preserve"> transparency, assessed through structured</w:t>
      </w:r>
      <w:r w:rsidR="006C70FC" w:rsidRPr="0050011A">
        <w:rPr>
          <w:rFonts w:cs="Arial"/>
        </w:rPr>
        <w:t xml:space="preserve"> feedback; proportion of datasets accompanied by clear metadata covering origin, purpose, and permitted use.</w:t>
      </w:r>
    </w:p>
    <w:p w14:paraId="53BDE89B" w14:textId="64F02B32" w:rsidR="006C70FC" w:rsidRPr="0050011A" w:rsidRDefault="006C70FC" w:rsidP="00935E12">
      <w:pPr>
        <w:rPr>
          <w:rFonts w:cs="Arial"/>
        </w:rPr>
      </w:pPr>
      <w:r w:rsidRPr="0050011A">
        <w:rPr>
          <w:rFonts w:cs="Arial"/>
          <w:i/>
        </w:rPr>
        <w:t>Measurability</w:t>
      </w:r>
      <w:r w:rsidRPr="0050011A">
        <w:rPr>
          <w:rFonts w:cs="Arial"/>
        </w:rPr>
        <w:t xml:space="preserve">: </w:t>
      </w:r>
      <w:r w:rsidR="00574960" w:rsidRPr="0050011A">
        <w:rPr>
          <w:rFonts w:cs="Arial"/>
        </w:rPr>
        <w:t>Satisfaction scores and documentation audits require direct access to stakeholders and live systems. Within the project’s scope, partial assessment is possible through interviews and consultations, but systematic measurement begins at deployment.</w:t>
      </w:r>
    </w:p>
    <w:p w14:paraId="1E69B52A" w14:textId="0A1CE69E" w:rsidR="00574960" w:rsidRPr="0050011A" w:rsidRDefault="00574960" w:rsidP="00574960">
      <w:pPr>
        <w:pStyle w:val="Heading3"/>
        <w:rPr>
          <w:rFonts w:cs="Arial"/>
        </w:rPr>
      </w:pPr>
      <w:bookmarkStart w:id="106" w:name="_Toc1775698340"/>
      <w:r w:rsidRPr="54AD4DA9">
        <w:rPr>
          <w:rFonts w:cs="Arial"/>
        </w:rPr>
        <w:t>6.</w:t>
      </w:r>
      <w:r w:rsidR="00D1182F" w:rsidRPr="54AD4DA9">
        <w:rPr>
          <w:rFonts w:cs="Arial"/>
        </w:rPr>
        <w:t>1</w:t>
      </w:r>
      <w:r w:rsidRPr="54AD4DA9">
        <w:rPr>
          <w:rFonts w:cs="Arial"/>
        </w:rPr>
        <w:t>.3 Accountability</w:t>
      </w:r>
      <w:bookmarkEnd w:id="106"/>
    </w:p>
    <w:p w14:paraId="7B9F2BA3" w14:textId="00322EEE" w:rsidR="00574960" w:rsidRPr="0050011A" w:rsidRDefault="00574960" w:rsidP="00574960">
      <w:pPr>
        <w:rPr>
          <w:rFonts w:cs="Arial"/>
        </w:rPr>
      </w:pPr>
      <w:r w:rsidRPr="0050011A">
        <w:rPr>
          <w:rFonts w:cs="Arial"/>
        </w:rPr>
        <w:t>Whether responsibility is assigned, visible, and acted upon.</w:t>
      </w:r>
    </w:p>
    <w:p w14:paraId="2DD8BC47" w14:textId="2F149F7D" w:rsidR="00574960" w:rsidRPr="0050011A" w:rsidRDefault="00574960" w:rsidP="00574960">
      <w:pPr>
        <w:rPr>
          <w:rFonts w:cs="Arial"/>
        </w:rPr>
      </w:pPr>
      <w:r w:rsidRPr="0050011A">
        <w:rPr>
          <w:rFonts w:cs="Arial"/>
        </w:rPr>
        <w:t>A gover</w:t>
      </w:r>
      <w:r w:rsidR="00423DF4" w:rsidRPr="0050011A">
        <w:rPr>
          <w:rFonts w:cs="Arial"/>
        </w:rPr>
        <w:t xml:space="preserve">nance structure that cannot answer the </w:t>
      </w:r>
      <w:r w:rsidR="00121018" w:rsidRPr="0050011A">
        <w:rPr>
          <w:rFonts w:cs="Arial"/>
        </w:rPr>
        <w:t xml:space="preserve">question of who is responsible for this? </w:t>
      </w:r>
      <w:r w:rsidR="009401BC" w:rsidRPr="0050011A">
        <w:rPr>
          <w:rFonts w:cs="Arial"/>
        </w:rPr>
        <w:t>Is not a governan</w:t>
      </w:r>
      <w:r w:rsidR="006D421A" w:rsidRPr="0050011A">
        <w:rPr>
          <w:rFonts w:cs="Arial"/>
        </w:rPr>
        <w:t xml:space="preserve">ce structure, it </w:t>
      </w:r>
      <w:r w:rsidR="004B7B64" w:rsidRPr="0050011A">
        <w:rPr>
          <w:rFonts w:cs="Arial"/>
        </w:rPr>
        <w:t>is a set of principles without a home. Accountability</w:t>
      </w:r>
      <w:r w:rsidR="0038331C" w:rsidRPr="0050011A">
        <w:rPr>
          <w:rFonts w:cs="Arial"/>
        </w:rPr>
        <w:t xml:space="preserve"> indicators</w:t>
      </w:r>
      <w:r w:rsidR="006F3C26" w:rsidRPr="0050011A">
        <w:rPr>
          <w:rFonts w:cs="Arial"/>
        </w:rPr>
        <w:t xml:space="preserve"> track whether every day act</w:t>
      </w:r>
      <w:r w:rsidR="00C63E27" w:rsidRPr="0050011A">
        <w:rPr>
          <w:rFonts w:cs="Arial"/>
        </w:rPr>
        <w:t>ivity has a named responsible party, whether problems are resolve</w:t>
      </w:r>
      <w:r w:rsidR="009B7F06" w:rsidRPr="0050011A">
        <w:rPr>
          <w:rFonts w:cs="Arial"/>
        </w:rPr>
        <w:t>d in reasonable time, and whether governance is reviewed regularly rather than treated as a one-time setup</w:t>
      </w:r>
      <w:r w:rsidR="001B6443" w:rsidRPr="0050011A">
        <w:rPr>
          <w:rFonts w:cs="Arial"/>
        </w:rPr>
        <w:t>.</w:t>
      </w:r>
    </w:p>
    <w:p w14:paraId="76CE6618" w14:textId="3ACC20F6" w:rsidR="001B6443" w:rsidRPr="0050011A" w:rsidRDefault="001B6443" w:rsidP="00574960">
      <w:pPr>
        <w:rPr>
          <w:rFonts w:cs="Arial"/>
        </w:rPr>
      </w:pPr>
      <w:r w:rsidRPr="0050011A">
        <w:rPr>
          <w:rFonts w:cs="Arial"/>
          <w:i/>
        </w:rPr>
        <w:t>Indicators</w:t>
      </w:r>
      <w:r w:rsidRPr="0050011A">
        <w:rPr>
          <w:rFonts w:cs="Arial"/>
        </w:rPr>
        <w:t xml:space="preserve">: </w:t>
      </w:r>
      <w:r w:rsidR="00290FC5" w:rsidRPr="0050011A">
        <w:rPr>
          <w:rFonts w:cs="Arial"/>
        </w:rPr>
        <w:t>proportion of data activities</w:t>
      </w:r>
      <w:r w:rsidR="009F78D9" w:rsidRPr="0050011A">
        <w:rPr>
          <w:rFonts w:cs="Arial"/>
        </w:rPr>
        <w:t xml:space="preserve"> with an assigned responsible stakeholder; average time to resolve data-related issues or viol</w:t>
      </w:r>
      <w:r w:rsidR="00D24F11" w:rsidRPr="0050011A">
        <w:rPr>
          <w:rFonts w:cs="Arial"/>
        </w:rPr>
        <w:t>ations</w:t>
      </w:r>
      <w:r w:rsidR="00006423" w:rsidRPr="0050011A">
        <w:rPr>
          <w:rFonts w:cs="Arial"/>
        </w:rPr>
        <w:t xml:space="preserve">; number of governance reviews or audits conducted </w:t>
      </w:r>
      <w:r w:rsidR="00784625" w:rsidRPr="0050011A">
        <w:rPr>
          <w:rFonts w:cs="Arial"/>
        </w:rPr>
        <w:t>within a defined period.</w:t>
      </w:r>
    </w:p>
    <w:p w14:paraId="37542673" w14:textId="0DFD97E7" w:rsidR="00EA364A" w:rsidRPr="0050011A" w:rsidRDefault="00EA364A" w:rsidP="00574960">
      <w:pPr>
        <w:rPr>
          <w:rFonts w:cs="Arial"/>
        </w:rPr>
      </w:pPr>
      <w:r w:rsidRPr="0050011A">
        <w:rPr>
          <w:rFonts w:cs="Arial"/>
          <w:i/>
        </w:rPr>
        <w:t>Measurability</w:t>
      </w:r>
      <w:r w:rsidRPr="0050011A">
        <w:rPr>
          <w:rFonts w:cs="Arial"/>
        </w:rPr>
        <w:t xml:space="preserve">: </w:t>
      </w:r>
      <w:r w:rsidR="008A6FE6" w:rsidRPr="0050011A">
        <w:rPr>
          <w:rFonts w:cs="Arial"/>
        </w:rPr>
        <w:t>Resolution times and audit counts are operational metrics that only become meaningful once the framework is in active use. They are post-delivery indicators that the adopting organizations must commit to tracking.</w:t>
      </w:r>
    </w:p>
    <w:p w14:paraId="5E537716" w14:textId="3F462BFC" w:rsidR="008A6FE6" w:rsidRPr="0050011A" w:rsidRDefault="002F5EAB" w:rsidP="008A6FE6">
      <w:pPr>
        <w:pStyle w:val="Heading3"/>
        <w:rPr>
          <w:rFonts w:cs="Arial"/>
        </w:rPr>
      </w:pPr>
      <w:bookmarkStart w:id="107" w:name="_Toc1261574159"/>
      <w:r w:rsidRPr="54AD4DA9">
        <w:rPr>
          <w:rFonts w:cs="Arial"/>
        </w:rPr>
        <w:t>6.</w:t>
      </w:r>
      <w:r w:rsidR="00D1182F" w:rsidRPr="54AD4DA9">
        <w:rPr>
          <w:rFonts w:cs="Arial"/>
        </w:rPr>
        <w:t>1</w:t>
      </w:r>
      <w:r w:rsidRPr="54AD4DA9">
        <w:rPr>
          <w:rFonts w:cs="Arial"/>
        </w:rPr>
        <w:t>.4 Adoption of the Governance Framework</w:t>
      </w:r>
      <w:bookmarkEnd w:id="107"/>
    </w:p>
    <w:p w14:paraId="53BA4780" w14:textId="4A16BE4B" w:rsidR="002F5EAB" w:rsidRPr="0050011A" w:rsidRDefault="002F5EAB" w:rsidP="002F5EAB">
      <w:pPr>
        <w:rPr>
          <w:rFonts w:cs="Arial"/>
        </w:rPr>
      </w:pPr>
      <w:r w:rsidRPr="0050011A">
        <w:rPr>
          <w:rFonts w:cs="Arial"/>
        </w:rPr>
        <w:t xml:space="preserve">Whether the framework is genuinely used, not just formally </w:t>
      </w:r>
      <w:r w:rsidR="00B61569" w:rsidRPr="0050011A">
        <w:rPr>
          <w:rFonts w:cs="Arial"/>
        </w:rPr>
        <w:t>approved.</w:t>
      </w:r>
    </w:p>
    <w:p w14:paraId="4047308D" w14:textId="5847288B" w:rsidR="00B61569" w:rsidRPr="0050011A" w:rsidRDefault="00B61569" w:rsidP="002F5EAB">
      <w:pPr>
        <w:rPr>
          <w:rFonts w:cs="Arial"/>
        </w:rPr>
      </w:pPr>
      <w:r w:rsidRPr="0050011A">
        <w:rPr>
          <w:rFonts w:cs="Arial"/>
        </w:rPr>
        <w:t xml:space="preserve">For an advisory project, this is the most critical </w:t>
      </w:r>
      <w:r w:rsidR="003A4BAF" w:rsidRPr="0050011A">
        <w:rPr>
          <w:rFonts w:cs="Arial"/>
        </w:rPr>
        <w:t>dimension of all. A framework that exists in a document but is not reflected in how dec</w:t>
      </w:r>
      <w:r w:rsidR="0016094A" w:rsidRPr="0050011A">
        <w:rPr>
          <w:rFonts w:cs="Arial"/>
        </w:rPr>
        <w:t xml:space="preserve">isions are made has not achieved its purpose. Adoption indicators </w:t>
      </w:r>
      <w:r w:rsidR="00101F9A" w:rsidRPr="0050011A">
        <w:rPr>
          <w:rFonts w:cs="Arial"/>
        </w:rPr>
        <w:t xml:space="preserve">capture whether </w:t>
      </w:r>
      <w:r w:rsidR="00506A90" w:rsidRPr="0050011A">
        <w:rPr>
          <w:rFonts w:cs="Arial"/>
        </w:rPr>
        <w:t>parti</w:t>
      </w:r>
      <w:r w:rsidR="00B44973" w:rsidRPr="0050011A">
        <w:rPr>
          <w:rFonts w:cs="Arial"/>
        </w:rPr>
        <w:t xml:space="preserve">cipants </w:t>
      </w:r>
      <w:r w:rsidR="002C34DB" w:rsidRPr="0050011A">
        <w:rPr>
          <w:rFonts w:cs="Arial"/>
        </w:rPr>
        <w:t xml:space="preserve">are actively working with the framework, whether </w:t>
      </w:r>
      <w:r w:rsidR="00B83C9F" w:rsidRPr="0050011A">
        <w:rPr>
          <w:rFonts w:cs="Arial"/>
        </w:rPr>
        <w:t>their</w:t>
      </w:r>
      <w:r w:rsidR="002C34DB" w:rsidRPr="0050011A">
        <w:rPr>
          <w:rFonts w:cs="Arial"/>
        </w:rPr>
        <w:t xml:space="preserve"> pro</w:t>
      </w:r>
      <w:r w:rsidR="00940333" w:rsidRPr="0050011A">
        <w:rPr>
          <w:rFonts w:cs="Arial"/>
        </w:rPr>
        <w:t>cedures have been formally implemented, and whether those using it find it practical enough to apply consistently.</w:t>
      </w:r>
    </w:p>
    <w:p w14:paraId="72D6A962" w14:textId="53C9EC26" w:rsidR="0046689E" w:rsidRPr="0050011A" w:rsidRDefault="0046689E" w:rsidP="002F5EAB">
      <w:pPr>
        <w:rPr>
          <w:rFonts w:cs="Arial"/>
        </w:rPr>
      </w:pPr>
      <w:r w:rsidRPr="0050011A">
        <w:rPr>
          <w:rFonts w:cs="Arial"/>
          <w:i/>
        </w:rPr>
        <w:t>Indicators</w:t>
      </w:r>
      <w:r w:rsidRPr="0050011A">
        <w:rPr>
          <w:rFonts w:cs="Arial"/>
        </w:rPr>
        <w:t>:</w:t>
      </w:r>
      <w:r w:rsidR="000D7E0A" w:rsidRPr="0050011A">
        <w:rPr>
          <w:rFonts w:cs="Arial"/>
        </w:rPr>
        <w:t xml:space="preserve"> proportion of participants actively referencing and applying the governance framework; </w:t>
      </w:r>
      <w:r w:rsidR="00BE3C17" w:rsidRPr="0050011A">
        <w:rPr>
          <w:rFonts w:cs="Arial"/>
        </w:rPr>
        <w:t xml:space="preserve">number of protocols or procedures formally implemented </w:t>
      </w:r>
      <w:r w:rsidR="00E120DD" w:rsidRPr="0050011A">
        <w:rPr>
          <w:rFonts w:cs="Arial"/>
        </w:rPr>
        <w:t xml:space="preserve">or cited in operational decisions; stakeholder feedback on usability </w:t>
      </w:r>
      <w:r w:rsidR="00493630" w:rsidRPr="0050011A">
        <w:rPr>
          <w:rFonts w:cs="Arial"/>
        </w:rPr>
        <w:t>and practical applicability.</w:t>
      </w:r>
    </w:p>
    <w:p w14:paraId="6F6FC617" w14:textId="2830BBF4" w:rsidR="00D1182F" w:rsidRPr="0050011A" w:rsidRDefault="00D1182F" w:rsidP="002F5EAB">
      <w:pPr>
        <w:rPr>
          <w:rFonts w:cs="Arial"/>
        </w:rPr>
      </w:pPr>
      <w:r w:rsidRPr="0050011A">
        <w:rPr>
          <w:rFonts w:cs="Arial"/>
          <w:i/>
        </w:rPr>
        <w:t>Measurability</w:t>
      </w:r>
      <w:r w:rsidRPr="0050011A">
        <w:rPr>
          <w:rFonts w:cs="Arial"/>
        </w:rPr>
        <w:t>: This one area where the project can gather partial data through stakeholder consultations and feedback sessions. Full adoption can only be assessed after the project concludes, but early signals of usability are available within the project’s own engagement activities.</w:t>
      </w:r>
    </w:p>
    <w:p w14:paraId="3D333615" w14:textId="240453B6" w:rsidR="00D1182F" w:rsidRPr="0050011A" w:rsidRDefault="00D1182F" w:rsidP="00D1182F">
      <w:pPr>
        <w:pStyle w:val="Heading3"/>
        <w:rPr>
          <w:rFonts w:cs="Arial"/>
        </w:rPr>
      </w:pPr>
      <w:bookmarkStart w:id="108" w:name="_Toc1836235190"/>
      <w:r w:rsidRPr="54AD4DA9">
        <w:rPr>
          <w:rFonts w:cs="Arial"/>
        </w:rPr>
        <w:t>6.1.5 Data Quality and Reliability</w:t>
      </w:r>
      <w:bookmarkEnd w:id="108"/>
    </w:p>
    <w:p w14:paraId="52308081" w14:textId="6478FEEF" w:rsidR="00D1182F" w:rsidRPr="0050011A" w:rsidRDefault="00D1182F" w:rsidP="00D1182F">
      <w:pPr>
        <w:rPr>
          <w:rFonts w:cs="Arial"/>
        </w:rPr>
      </w:pPr>
      <w:r w:rsidRPr="0050011A">
        <w:rPr>
          <w:rFonts w:cs="Arial"/>
        </w:rPr>
        <w:t>Whether the data being governed is trustworthy.</w:t>
      </w:r>
    </w:p>
    <w:p w14:paraId="3FD690E3" w14:textId="30AE1D27" w:rsidR="00D1182F" w:rsidRPr="0050011A" w:rsidRDefault="00D43822" w:rsidP="00D1182F">
      <w:pPr>
        <w:rPr>
          <w:rFonts w:cs="Arial"/>
        </w:rPr>
      </w:pPr>
      <w:r w:rsidRPr="0050011A">
        <w:rPr>
          <w:rFonts w:cs="Arial"/>
        </w:rPr>
        <w:t>Irresponsible outcomes in data use do not always result from bad intentions. They often result from poor data quality — incomplete records, inaccurate figures, or datasets used beyond the conditions under which they were collected. Governing data responsibly includes ensuring that the data itself meets the standards required for the purposes it serves</w:t>
      </w:r>
      <w:r w:rsidR="007B5990" w:rsidRPr="0050011A">
        <w:rPr>
          <w:rFonts w:cs="Arial"/>
        </w:rPr>
        <w:t>.</w:t>
      </w:r>
    </w:p>
    <w:p w14:paraId="5A0F651D" w14:textId="30584F05" w:rsidR="00216896" w:rsidRPr="0050011A" w:rsidRDefault="007B5990" w:rsidP="00D1182F">
      <w:pPr>
        <w:rPr>
          <w:rFonts w:cs="Arial"/>
        </w:rPr>
      </w:pPr>
      <w:r w:rsidRPr="0050011A">
        <w:rPr>
          <w:rFonts w:cs="Arial"/>
          <w:i/>
        </w:rPr>
        <w:t>Indicators</w:t>
      </w:r>
      <w:r w:rsidRPr="0050011A">
        <w:rPr>
          <w:rFonts w:cs="Arial"/>
        </w:rPr>
        <w:t xml:space="preserve">: </w:t>
      </w:r>
      <w:r w:rsidR="009D3675" w:rsidRPr="0050011A">
        <w:rPr>
          <w:rFonts w:cs="Arial"/>
        </w:rPr>
        <w:t>proportion of datasets meeting defined quality standards; data completeness and accuracy assessments; number of data errors detected over a defined period.</w:t>
      </w:r>
    </w:p>
    <w:p w14:paraId="43ED1FAB" w14:textId="6DCC6952" w:rsidR="00216896" w:rsidRPr="0050011A" w:rsidRDefault="00216896" w:rsidP="00D1182F">
      <w:pPr>
        <w:rPr>
          <w:rFonts w:cs="Arial"/>
        </w:rPr>
      </w:pPr>
      <w:r w:rsidRPr="0050011A">
        <w:rPr>
          <w:rFonts w:cs="Arial"/>
          <w:i/>
        </w:rPr>
        <w:t>Measurability</w:t>
      </w:r>
      <w:r w:rsidRPr="0050011A">
        <w:rPr>
          <w:rFonts w:cs="Arial"/>
        </w:rPr>
        <w:t xml:space="preserve">: </w:t>
      </w:r>
      <w:r w:rsidR="0015245F" w:rsidRPr="0050011A">
        <w:rPr>
          <w:rFonts w:cs="Arial"/>
        </w:rPr>
        <w:t>These metrics require access to the actual datasets in use. The project can define quality criteria and assessment methods; producing the scores is the responsibility of the organizations operating the dataspace.</w:t>
      </w:r>
    </w:p>
    <w:p w14:paraId="255F3018" w14:textId="5D3A6223" w:rsidR="0015245F" w:rsidRPr="0050011A" w:rsidRDefault="0015245F" w:rsidP="0015245F">
      <w:pPr>
        <w:pStyle w:val="Heading3"/>
        <w:rPr>
          <w:rFonts w:cs="Arial"/>
        </w:rPr>
      </w:pPr>
      <w:bookmarkStart w:id="109" w:name="_Toc2096874033"/>
      <w:r w:rsidRPr="54AD4DA9">
        <w:rPr>
          <w:rFonts w:cs="Arial"/>
        </w:rPr>
        <w:lastRenderedPageBreak/>
        <w:t>6.1.</w:t>
      </w:r>
      <w:r w:rsidR="00324F46" w:rsidRPr="54AD4DA9">
        <w:rPr>
          <w:rFonts w:cs="Arial"/>
        </w:rPr>
        <w:t>6 Risk Management</w:t>
      </w:r>
      <w:bookmarkEnd w:id="109"/>
    </w:p>
    <w:p w14:paraId="0DB78944" w14:textId="7C002611" w:rsidR="00324F46" w:rsidRPr="0050011A" w:rsidRDefault="003F0F8E" w:rsidP="00324F46">
      <w:pPr>
        <w:rPr>
          <w:rFonts w:cs="Arial"/>
        </w:rPr>
      </w:pPr>
      <w:r w:rsidRPr="0050011A">
        <w:rPr>
          <w:rFonts w:cs="Arial"/>
        </w:rPr>
        <w:t xml:space="preserve">Whether governance is genuinely </w:t>
      </w:r>
      <w:r w:rsidR="00817AEE" w:rsidRPr="0050011A">
        <w:rPr>
          <w:rFonts w:cs="Arial"/>
        </w:rPr>
        <w:t>protective rather than reactive.</w:t>
      </w:r>
    </w:p>
    <w:p w14:paraId="1244B204" w14:textId="3275C37F" w:rsidR="00817AEE" w:rsidRPr="0050011A" w:rsidRDefault="00817AEE" w:rsidP="00324F46">
      <w:pPr>
        <w:rPr>
          <w:rFonts w:cs="Arial"/>
        </w:rPr>
      </w:pPr>
      <w:r w:rsidRPr="0050011A">
        <w:rPr>
          <w:rFonts w:cs="Arial"/>
        </w:rPr>
        <w:t>The difference between a governance framework that works and one that merely exists is most visible by how risks are handled. A functioning framework identifies risks before they materialize, takes steps to reduce them, and revi</w:t>
      </w:r>
      <w:r w:rsidR="00653134" w:rsidRPr="0050011A">
        <w:rPr>
          <w:rFonts w:cs="Arial"/>
        </w:rPr>
        <w:t>sits its own assessments regularly. Risk management indicators reveal whether this is happening.</w:t>
      </w:r>
    </w:p>
    <w:p w14:paraId="17448A7E" w14:textId="1DC1747A" w:rsidR="00653134" w:rsidRPr="0050011A" w:rsidRDefault="00653134" w:rsidP="00324F46">
      <w:pPr>
        <w:rPr>
          <w:rFonts w:cs="Arial"/>
        </w:rPr>
      </w:pPr>
      <w:r w:rsidRPr="0050011A">
        <w:rPr>
          <w:rFonts w:cs="Arial"/>
          <w:i/>
        </w:rPr>
        <w:t>Indicators</w:t>
      </w:r>
      <w:r w:rsidRPr="0050011A">
        <w:rPr>
          <w:rFonts w:cs="Arial"/>
        </w:rPr>
        <w:t xml:space="preserve">: </w:t>
      </w:r>
      <w:r w:rsidR="000E78FA" w:rsidRPr="0050011A">
        <w:rPr>
          <w:rFonts w:cs="Arial"/>
        </w:rPr>
        <w:t>Number of identified risks versus those actively miti</w:t>
      </w:r>
      <w:r w:rsidR="006C67DF" w:rsidRPr="0050011A">
        <w:rPr>
          <w:rFonts w:cs="Arial"/>
        </w:rPr>
        <w:t>gated; reduction in high-risk data usage scenarios over time</w:t>
      </w:r>
      <w:r w:rsidR="006C22B6" w:rsidRPr="0050011A">
        <w:rPr>
          <w:rFonts w:cs="Arial"/>
        </w:rPr>
        <w:t>; frequency of risks assessments carried out across the dataspace.</w:t>
      </w:r>
    </w:p>
    <w:p w14:paraId="3B117AF6" w14:textId="1B3052DE" w:rsidR="00927C53" w:rsidRPr="0050011A" w:rsidRDefault="00927C53" w:rsidP="00324F46">
      <w:pPr>
        <w:rPr>
          <w:rFonts w:cs="Arial"/>
        </w:rPr>
      </w:pPr>
      <w:r w:rsidRPr="0050011A">
        <w:rPr>
          <w:rFonts w:cs="Arial"/>
          <w:i/>
        </w:rPr>
        <w:t>Measurability</w:t>
      </w:r>
      <w:r w:rsidRPr="0050011A">
        <w:rPr>
          <w:rFonts w:cs="Arial"/>
        </w:rPr>
        <w:t xml:space="preserve">: </w:t>
      </w:r>
      <w:r w:rsidR="0024241D" w:rsidRPr="0050011A">
        <w:rPr>
          <w:rFonts w:cs="Arial"/>
        </w:rPr>
        <w:t xml:space="preserve">Risk </w:t>
      </w:r>
      <w:r w:rsidR="0049661A" w:rsidRPr="0050011A">
        <w:rPr>
          <w:rFonts w:cs="Arial"/>
        </w:rPr>
        <w:t xml:space="preserve">reduction can only be demonstrated over time and across repeated assessments. </w:t>
      </w:r>
      <w:r w:rsidR="00363AE6" w:rsidRPr="0050011A">
        <w:rPr>
          <w:rFonts w:cs="Arial"/>
        </w:rPr>
        <w:t>This project</w:t>
      </w:r>
      <w:r w:rsidR="008F70A5" w:rsidRPr="0050011A">
        <w:rPr>
          <w:rFonts w:cs="Arial"/>
        </w:rPr>
        <w:t xml:space="preserve"> can identify </w:t>
      </w:r>
      <w:r w:rsidR="00CB75D3" w:rsidRPr="0050011A">
        <w:rPr>
          <w:rFonts w:cs="Arial"/>
        </w:rPr>
        <w:t>and categorize risks, but validating mitigation outcomes requires longitudinal data that only becomes available after deployment.</w:t>
      </w:r>
    </w:p>
    <w:p w14:paraId="03597CEB" w14:textId="39C69022" w:rsidR="00CB75D3" w:rsidRPr="0050011A" w:rsidRDefault="00CB75D3" w:rsidP="00CB75D3">
      <w:pPr>
        <w:pStyle w:val="Heading3"/>
        <w:rPr>
          <w:rFonts w:cs="Arial"/>
        </w:rPr>
      </w:pPr>
      <w:bookmarkStart w:id="110" w:name="_Toc1025527629"/>
      <w:r w:rsidRPr="54AD4DA9">
        <w:rPr>
          <w:rFonts w:cs="Arial"/>
        </w:rPr>
        <w:t>6.1.7 Scalability and Reusability</w:t>
      </w:r>
      <w:bookmarkEnd w:id="110"/>
    </w:p>
    <w:p w14:paraId="00741B33" w14:textId="3B32C3A5" w:rsidR="00CB75D3" w:rsidRPr="0050011A" w:rsidRDefault="00672047" w:rsidP="00CB75D3">
      <w:pPr>
        <w:rPr>
          <w:rFonts w:cs="Arial"/>
        </w:rPr>
      </w:pPr>
      <w:r w:rsidRPr="0050011A">
        <w:rPr>
          <w:rFonts w:cs="Arial"/>
        </w:rPr>
        <w:t xml:space="preserve">Whether the framework’s value </w:t>
      </w:r>
      <w:r w:rsidR="00A557E8" w:rsidRPr="0050011A">
        <w:rPr>
          <w:rFonts w:cs="Arial"/>
        </w:rPr>
        <w:t xml:space="preserve">extends </w:t>
      </w:r>
      <w:r w:rsidR="00311D2D" w:rsidRPr="0050011A">
        <w:rPr>
          <w:rFonts w:cs="Arial"/>
        </w:rPr>
        <w:t>beyond its original context.</w:t>
      </w:r>
    </w:p>
    <w:p w14:paraId="7E3023EB" w14:textId="3756523B" w:rsidR="00311D2D" w:rsidRPr="0050011A" w:rsidRDefault="00311D2D" w:rsidP="00CB75D3">
      <w:pPr>
        <w:rPr>
          <w:rFonts w:cs="Arial"/>
        </w:rPr>
      </w:pPr>
      <w:r w:rsidRPr="0050011A">
        <w:rPr>
          <w:rFonts w:cs="Arial"/>
        </w:rPr>
        <w:t>A governance framework designed exclusively for one dataspace, one municipality</w:t>
      </w:r>
      <w:r w:rsidR="00A13409" w:rsidRPr="0050011A">
        <w:rPr>
          <w:rFonts w:cs="Arial"/>
        </w:rPr>
        <w:t xml:space="preserve">, or one moment in time has limited </w:t>
      </w:r>
      <w:r w:rsidR="004444E8" w:rsidRPr="0050011A">
        <w:rPr>
          <w:rFonts w:cs="Arial"/>
        </w:rPr>
        <w:t>impact</w:t>
      </w:r>
      <w:r w:rsidR="00C503BE" w:rsidRPr="0050011A">
        <w:rPr>
          <w:rFonts w:cs="Arial"/>
        </w:rPr>
        <w:t xml:space="preserve">. </w:t>
      </w:r>
      <w:r w:rsidR="00CE1CB3" w:rsidRPr="0050011A">
        <w:rPr>
          <w:rFonts w:cs="Arial"/>
        </w:rPr>
        <w:t xml:space="preserve">A </w:t>
      </w:r>
      <w:r w:rsidR="00331AD9" w:rsidRPr="0050011A">
        <w:rPr>
          <w:rFonts w:cs="Arial"/>
        </w:rPr>
        <w:t>framework that can be adapted, across departments, sect</w:t>
      </w:r>
      <w:r w:rsidR="00BA0B36" w:rsidRPr="0050011A">
        <w:rPr>
          <w:rFonts w:cs="Arial"/>
        </w:rPr>
        <w:t>ors, or different types of data exchanges, multiplies its value considerably. Scalabi</w:t>
      </w:r>
      <w:r w:rsidR="00D359F6" w:rsidRPr="0050011A">
        <w:rPr>
          <w:rFonts w:cs="Arial"/>
        </w:rPr>
        <w:t>lity indicators assess whether</w:t>
      </w:r>
      <w:r w:rsidR="00D91F59" w:rsidRPr="0050011A">
        <w:rPr>
          <w:rFonts w:cs="Arial"/>
        </w:rPr>
        <w:t xml:space="preserve"> the framework is built to travel.</w:t>
      </w:r>
    </w:p>
    <w:p w14:paraId="037B3608" w14:textId="39559F0D" w:rsidR="00D91F59" w:rsidRPr="0050011A" w:rsidRDefault="00D91F59" w:rsidP="00CB75D3">
      <w:pPr>
        <w:rPr>
          <w:rFonts w:cs="Arial"/>
        </w:rPr>
      </w:pPr>
      <w:r w:rsidRPr="0050011A">
        <w:rPr>
          <w:rFonts w:cs="Arial"/>
          <w:i/>
        </w:rPr>
        <w:t>Indicators</w:t>
      </w:r>
      <w:r w:rsidRPr="0050011A">
        <w:rPr>
          <w:rFonts w:cs="Arial"/>
        </w:rPr>
        <w:t>: number of new or external use cases that have applied the framework; stakeholder assessment of how easily the framework adapts to different contexts</w:t>
      </w:r>
      <w:r w:rsidR="00C801A1" w:rsidRPr="0050011A">
        <w:rPr>
          <w:rFonts w:cs="Arial"/>
        </w:rPr>
        <w:t>.</w:t>
      </w:r>
    </w:p>
    <w:p w14:paraId="56B41749" w14:textId="5ABA3B07" w:rsidR="004508B8" w:rsidRPr="0050011A" w:rsidRDefault="00C801A1" w:rsidP="00CB75D3">
      <w:pPr>
        <w:rPr>
          <w:rFonts w:cs="Arial"/>
        </w:rPr>
      </w:pPr>
      <w:r w:rsidRPr="0050011A">
        <w:rPr>
          <w:rFonts w:cs="Arial"/>
          <w:i/>
        </w:rPr>
        <w:t>Measurability</w:t>
      </w:r>
      <w:r w:rsidRPr="0050011A">
        <w:rPr>
          <w:rFonts w:cs="Arial"/>
        </w:rPr>
        <w:t xml:space="preserve">: </w:t>
      </w:r>
      <w:r w:rsidR="0053310E" w:rsidRPr="0050011A">
        <w:rPr>
          <w:rFonts w:cs="Arial"/>
        </w:rPr>
        <w:t xml:space="preserve">Scalability is inherently a long-term measure. Within the project, it can be partially assessed through expert </w:t>
      </w:r>
      <w:r w:rsidR="004508B8" w:rsidRPr="0050011A">
        <w:rPr>
          <w:rFonts w:cs="Arial"/>
        </w:rPr>
        <w:t>feedback and scenario testing, but real-world evidence of reuse only emerges after the framework has been in operation.</w:t>
      </w:r>
    </w:p>
    <w:p w14:paraId="2E3873C8" w14:textId="660962FE" w:rsidR="004508B8" w:rsidRPr="0050011A" w:rsidRDefault="00A556B2" w:rsidP="00CB75D3">
      <w:pPr>
        <w:rPr>
          <w:rFonts w:cs="Arial"/>
        </w:rPr>
      </w:pPr>
      <w:r w:rsidRPr="0050011A">
        <w:rPr>
          <w:rFonts w:cs="Arial"/>
        </w:rPr>
        <w:t>Taken together, these seven dimensions form an interlocking evaluation structure. Compliance without transparency generates distrust. Transparency without accountability creates confusion about who should act. Adoption without quality assurance leads to well-intentioned but unreliable outcomes. None of these dimensions stands alone, and none is optional. The organizations that adopt this framework are encouraged to treat this measurement agenda not as an administrative burden, but as the practical expression of the ethical commitments the framework contains.</w:t>
      </w:r>
    </w:p>
    <w:p w14:paraId="2382A141" w14:textId="5A6FDD73" w:rsidR="00497BF8" w:rsidRPr="0050011A" w:rsidRDefault="00497BF8">
      <w:pPr>
        <w:rPr>
          <w:rFonts w:eastAsiaTheme="majorEastAsia" w:cs="Arial"/>
          <w:b/>
          <w:sz w:val="32"/>
          <w:szCs w:val="32"/>
        </w:rPr>
      </w:pPr>
      <w:r w:rsidRPr="0050011A">
        <w:rPr>
          <w:rFonts w:cs="Arial"/>
        </w:rPr>
        <w:br w:type="page"/>
      </w:r>
    </w:p>
    <w:p w14:paraId="265C72A6" w14:textId="77777777" w:rsidR="00797F85" w:rsidRPr="0050011A" w:rsidRDefault="00797F85" w:rsidP="00797F85">
      <w:pPr>
        <w:pStyle w:val="Heading2"/>
        <w:rPr>
          <w:rFonts w:cs="Arial"/>
        </w:rPr>
      </w:pPr>
      <w:bookmarkStart w:id="111" w:name="_Toc1785896497"/>
      <w:r w:rsidRPr="54AD4DA9">
        <w:rPr>
          <w:rFonts w:cs="Arial"/>
        </w:rPr>
        <w:lastRenderedPageBreak/>
        <w:t>6.2 KPI Overview by Governance Dimension</w:t>
      </w:r>
      <w:bookmarkEnd w:id="103"/>
      <w:bookmarkEnd w:id="111"/>
    </w:p>
    <w:tbl>
      <w:tblPr>
        <w:tblW w:w="9880" w:type="dxa"/>
        <w:tblInd w:w="-431" w:type="dxa"/>
        <w:tblLook w:val="04A0" w:firstRow="1" w:lastRow="0" w:firstColumn="1" w:lastColumn="0" w:noHBand="0" w:noVBand="1"/>
      </w:tblPr>
      <w:tblGrid>
        <w:gridCol w:w="2640"/>
        <w:gridCol w:w="2140"/>
        <w:gridCol w:w="1920"/>
        <w:gridCol w:w="1240"/>
        <w:gridCol w:w="1940"/>
      </w:tblGrid>
      <w:tr w:rsidR="00FB6164" w:rsidRPr="00F428FF" w14:paraId="75FAC117"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465AED31" w14:textId="77777777" w:rsidR="00FB6164" w:rsidRPr="0050011A" w:rsidRDefault="00FB6164">
            <w:pPr>
              <w:spacing w:after="0" w:line="240" w:lineRule="auto"/>
              <w:jc w:val="center"/>
              <w:rPr>
                <w:rFonts w:eastAsia="Times New Roman" w:cs="Arial"/>
                <w:b/>
                <w:color w:val="FFFFFF"/>
                <w:kern w:val="0"/>
                <w:szCs w:val="20"/>
                <w14:ligatures w14:val="none"/>
              </w:rPr>
            </w:pPr>
            <w:r w:rsidRPr="0050011A">
              <w:rPr>
                <w:rFonts w:eastAsia="Times New Roman" w:cs="Arial"/>
                <w:b/>
                <w:color w:val="FFFFFF"/>
                <w:kern w:val="0"/>
                <w:szCs w:val="20"/>
                <w14:ligatures w14:val="none"/>
              </w:rPr>
              <w:t>KPI</w:t>
            </w:r>
          </w:p>
        </w:tc>
        <w:tc>
          <w:tcPr>
            <w:tcW w:w="2140" w:type="dxa"/>
            <w:tcBorders>
              <w:top w:val="single" w:sz="4" w:space="0" w:color="000000"/>
              <w:left w:val="nil"/>
              <w:bottom w:val="single" w:sz="4" w:space="0" w:color="000000"/>
              <w:right w:val="nil"/>
            </w:tcBorders>
            <w:shd w:val="clear" w:color="000000" w:fill="673366"/>
            <w:vAlign w:val="center"/>
            <w:hideMark/>
          </w:tcPr>
          <w:p w14:paraId="294A4F96" w14:textId="77777777" w:rsidR="00FB6164" w:rsidRPr="0050011A" w:rsidRDefault="00FB6164">
            <w:pPr>
              <w:spacing w:after="0" w:line="240" w:lineRule="auto"/>
              <w:jc w:val="center"/>
              <w:rPr>
                <w:rFonts w:eastAsia="Times New Roman" w:cs="Arial"/>
                <w:b/>
                <w:color w:val="FFFFFF"/>
                <w:kern w:val="0"/>
                <w:szCs w:val="20"/>
                <w14:ligatures w14:val="none"/>
              </w:rPr>
            </w:pPr>
            <w:r w:rsidRPr="0050011A">
              <w:rPr>
                <w:rFonts w:eastAsia="Times New Roman" w:cs="Arial"/>
                <w:b/>
                <w:color w:val="FFFFFF"/>
                <w:kern w:val="0"/>
                <w:szCs w:val="20"/>
                <w14:ligatures w14:val="none"/>
              </w:rPr>
              <w:t>What it Measures</w:t>
            </w:r>
          </w:p>
        </w:tc>
        <w:tc>
          <w:tcPr>
            <w:tcW w:w="1920" w:type="dxa"/>
            <w:tcBorders>
              <w:top w:val="single" w:sz="4" w:space="0" w:color="000000"/>
              <w:left w:val="nil"/>
              <w:bottom w:val="single" w:sz="4" w:space="0" w:color="000000"/>
              <w:right w:val="nil"/>
            </w:tcBorders>
            <w:shd w:val="clear" w:color="000000" w:fill="673366"/>
            <w:vAlign w:val="center"/>
            <w:hideMark/>
          </w:tcPr>
          <w:p w14:paraId="22DBFEB7" w14:textId="77777777" w:rsidR="00FB6164" w:rsidRPr="0050011A" w:rsidRDefault="00FB6164">
            <w:pPr>
              <w:spacing w:after="0" w:line="240" w:lineRule="auto"/>
              <w:jc w:val="center"/>
              <w:rPr>
                <w:rFonts w:eastAsia="Times New Roman" w:cs="Arial"/>
                <w:b/>
                <w:color w:val="FFFFFF"/>
                <w:kern w:val="0"/>
                <w:szCs w:val="20"/>
                <w14:ligatures w14:val="none"/>
              </w:rPr>
            </w:pPr>
            <w:r w:rsidRPr="0050011A">
              <w:rPr>
                <w:rFonts w:eastAsia="Times New Roman" w:cs="Arial"/>
                <w:b/>
                <w:color w:val="FFFFFF"/>
                <w:kern w:val="0"/>
                <w:szCs w:val="20"/>
                <w14:ligatures w14:val="none"/>
              </w:rPr>
              <w:t>Responsible Actor</w:t>
            </w:r>
          </w:p>
        </w:tc>
        <w:tc>
          <w:tcPr>
            <w:tcW w:w="1240" w:type="dxa"/>
            <w:tcBorders>
              <w:top w:val="single" w:sz="4" w:space="0" w:color="000000"/>
              <w:left w:val="nil"/>
              <w:bottom w:val="single" w:sz="4" w:space="0" w:color="000000"/>
              <w:right w:val="nil"/>
            </w:tcBorders>
            <w:shd w:val="clear" w:color="000000" w:fill="673366"/>
            <w:vAlign w:val="center"/>
            <w:hideMark/>
          </w:tcPr>
          <w:p w14:paraId="6CC7886C" w14:textId="77777777" w:rsidR="00FB6164" w:rsidRPr="0050011A" w:rsidRDefault="00FB6164">
            <w:pPr>
              <w:spacing w:after="0" w:line="240" w:lineRule="auto"/>
              <w:jc w:val="center"/>
              <w:rPr>
                <w:rFonts w:eastAsia="Times New Roman" w:cs="Arial"/>
                <w:b/>
                <w:color w:val="FFFFFF"/>
                <w:kern w:val="0"/>
                <w:szCs w:val="20"/>
                <w14:ligatures w14:val="none"/>
              </w:rPr>
            </w:pPr>
            <w:r w:rsidRPr="0050011A">
              <w:rPr>
                <w:rFonts w:eastAsia="Times New Roman" w:cs="Arial"/>
                <w:b/>
                <w:color w:val="FFFFFF"/>
                <w:kern w:val="0"/>
                <w:szCs w:val="20"/>
                <w14:ligatures w14:val="none"/>
              </w:rPr>
              <w:t>Frequency</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3DC97E30" w14:textId="77777777" w:rsidR="00FB6164" w:rsidRPr="0050011A" w:rsidRDefault="00FB6164">
            <w:pPr>
              <w:spacing w:after="0" w:line="240" w:lineRule="auto"/>
              <w:jc w:val="center"/>
              <w:rPr>
                <w:rFonts w:eastAsia="Times New Roman" w:cs="Arial"/>
                <w:b/>
                <w:color w:val="FFFFFF"/>
                <w:kern w:val="0"/>
                <w:szCs w:val="20"/>
                <w14:ligatures w14:val="none"/>
              </w:rPr>
            </w:pPr>
            <w:r w:rsidRPr="0050011A">
              <w:rPr>
                <w:rFonts w:eastAsia="Times New Roman" w:cs="Arial"/>
                <w:b/>
                <w:color w:val="FFFFFF"/>
                <w:kern w:val="0"/>
                <w:szCs w:val="20"/>
                <w14:ligatures w14:val="none"/>
              </w:rPr>
              <w:t>Initial Target</w:t>
            </w:r>
          </w:p>
        </w:tc>
      </w:tr>
      <w:tr w:rsidR="00FB6164" w:rsidRPr="00F428FF" w14:paraId="7CFDB58D"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2FCE7E67"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Compliance &amp; Ethical Use</w:t>
            </w:r>
          </w:p>
        </w:tc>
        <w:tc>
          <w:tcPr>
            <w:tcW w:w="2140" w:type="dxa"/>
            <w:tcBorders>
              <w:top w:val="single" w:sz="4" w:space="0" w:color="000000"/>
              <w:left w:val="nil"/>
              <w:bottom w:val="single" w:sz="4" w:space="0" w:color="000000"/>
              <w:right w:val="nil"/>
            </w:tcBorders>
            <w:shd w:val="clear" w:color="000000" w:fill="673366"/>
            <w:vAlign w:val="center"/>
            <w:hideMark/>
          </w:tcPr>
          <w:p w14:paraId="1FD3F064" w14:textId="77777777" w:rsidR="00FB6164" w:rsidRPr="0050011A" w:rsidRDefault="00FB6164">
            <w:pPr>
              <w:spacing w:after="0" w:line="240" w:lineRule="auto"/>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20B9DDEF" w14:textId="77777777" w:rsidR="00FB6164" w:rsidRPr="0050011A" w:rsidRDefault="00FB6164">
            <w:pPr>
              <w:spacing w:after="0" w:line="240" w:lineRule="auto"/>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1583D6BE" w14:textId="77777777" w:rsidR="00FB6164" w:rsidRPr="0050011A" w:rsidRDefault="00FB6164">
            <w:pPr>
              <w:spacing w:after="0" w:line="240" w:lineRule="auto"/>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7DD20459" w14:textId="77777777" w:rsidR="00FB6164" w:rsidRPr="0050011A" w:rsidRDefault="00FB6164">
            <w:pPr>
              <w:spacing w:after="0" w:line="240" w:lineRule="auto"/>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2AAD0EA7"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2C2ADFB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compliant usage cases</w:t>
            </w:r>
          </w:p>
        </w:tc>
        <w:tc>
          <w:tcPr>
            <w:tcW w:w="2140" w:type="dxa"/>
            <w:tcBorders>
              <w:top w:val="single" w:sz="4" w:space="0" w:color="000000"/>
              <w:left w:val="nil"/>
              <w:bottom w:val="single" w:sz="4" w:space="0" w:color="000000"/>
              <w:right w:val="nil"/>
            </w:tcBorders>
            <w:vAlign w:val="center"/>
            <w:hideMark/>
          </w:tcPr>
          <w:p w14:paraId="03D5C60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Adherence to governance protocols</w:t>
            </w:r>
          </w:p>
        </w:tc>
        <w:tc>
          <w:tcPr>
            <w:tcW w:w="1920" w:type="dxa"/>
            <w:tcBorders>
              <w:top w:val="single" w:sz="4" w:space="0" w:color="000000"/>
              <w:left w:val="nil"/>
              <w:bottom w:val="single" w:sz="4" w:space="0" w:color="000000"/>
              <w:right w:val="nil"/>
            </w:tcBorders>
            <w:vAlign w:val="center"/>
            <w:hideMark/>
          </w:tcPr>
          <w:p w14:paraId="3B19C94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vAlign w:val="center"/>
            <w:hideMark/>
          </w:tcPr>
          <w:p w14:paraId="674AF25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vAlign w:val="center"/>
            <w:hideMark/>
          </w:tcPr>
          <w:p w14:paraId="413F0B9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90%</w:t>
            </w:r>
          </w:p>
        </w:tc>
      </w:tr>
      <w:tr w:rsidR="00FB6164" w:rsidRPr="00F428FF" w14:paraId="5829BDB0" w14:textId="77777777">
        <w:trPr>
          <w:trHeight w:val="28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4C17F23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Number of misuse incidents</w:t>
            </w:r>
          </w:p>
        </w:tc>
        <w:tc>
          <w:tcPr>
            <w:tcW w:w="2140" w:type="dxa"/>
            <w:tcBorders>
              <w:top w:val="single" w:sz="4" w:space="0" w:color="000000"/>
              <w:left w:val="nil"/>
              <w:bottom w:val="single" w:sz="4" w:space="0" w:color="000000"/>
              <w:right w:val="nil"/>
            </w:tcBorders>
            <w:shd w:val="clear" w:color="D9D9D9" w:fill="D9D9D9"/>
            <w:vAlign w:val="center"/>
            <w:hideMark/>
          </w:tcPr>
          <w:p w14:paraId="4DB4D245"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Improper data usage</w:t>
            </w:r>
          </w:p>
        </w:tc>
        <w:tc>
          <w:tcPr>
            <w:tcW w:w="1920" w:type="dxa"/>
            <w:tcBorders>
              <w:top w:val="single" w:sz="4" w:space="0" w:color="000000"/>
              <w:left w:val="nil"/>
              <w:bottom w:val="single" w:sz="4" w:space="0" w:color="000000"/>
              <w:right w:val="nil"/>
            </w:tcBorders>
            <w:shd w:val="clear" w:color="D9D9D9" w:fill="D9D9D9"/>
            <w:vAlign w:val="center"/>
            <w:hideMark/>
          </w:tcPr>
          <w:p w14:paraId="2CF37F2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1462C09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Quarterly</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2B82E8C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0 unresolved incidents</w:t>
            </w:r>
          </w:p>
        </w:tc>
      </w:tr>
      <w:tr w:rsidR="00FB6164" w:rsidRPr="00F428FF" w14:paraId="4BE39F0E" w14:textId="77777777">
        <w:trPr>
          <w:trHeight w:val="285"/>
        </w:trPr>
        <w:tc>
          <w:tcPr>
            <w:tcW w:w="2640" w:type="dxa"/>
            <w:tcBorders>
              <w:top w:val="single" w:sz="4" w:space="0" w:color="000000"/>
              <w:left w:val="single" w:sz="4" w:space="0" w:color="000000"/>
              <w:bottom w:val="single" w:sz="4" w:space="0" w:color="000000"/>
              <w:right w:val="nil"/>
            </w:tcBorders>
            <w:vAlign w:val="center"/>
            <w:hideMark/>
          </w:tcPr>
          <w:p w14:paraId="545EF22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datasets with legal basis</w:t>
            </w:r>
          </w:p>
        </w:tc>
        <w:tc>
          <w:tcPr>
            <w:tcW w:w="2140" w:type="dxa"/>
            <w:tcBorders>
              <w:top w:val="single" w:sz="4" w:space="0" w:color="000000"/>
              <w:left w:val="nil"/>
              <w:bottom w:val="single" w:sz="4" w:space="0" w:color="000000"/>
              <w:right w:val="nil"/>
            </w:tcBorders>
            <w:vAlign w:val="center"/>
            <w:hideMark/>
          </w:tcPr>
          <w:p w14:paraId="597C0374"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GDPR compliance</w:t>
            </w:r>
          </w:p>
        </w:tc>
        <w:tc>
          <w:tcPr>
            <w:tcW w:w="1920" w:type="dxa"/>
            <w:tcBorders>
              <w:top w:val="single" w:sz="4" w:space="0" w:color="000000"/>
              <w:left w:val="nil"/>
              <w:bottom w:val="single" w:sz="4" w:space="0" w:color="000000"/>
              <w:right w:val="nil"/>
            </w:tcBorders>
            <w:vAlign w:val="center"/>
            <w:hideMark/>
          </w:tcPr>
          <w:p w14:paraId="059D51B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 Providers</w:t>
            </w:r>
          </w:p>
        </w:tc>
        <w:tc>
          <w:tcPr>
            <w:tcW w:w="1240" w:type="dxa"/>
            <w:tcBorders>
              <w:top w:val="single" w:sz="4" w:space="0" w:color="000000"/>
              <w:left w:val="nil"/>
              <w:bottom w:val="single" w:sz="4" w:space="0" w:color="000000"/>
              <w:right w:val="nil"/>
            </w:tcBorders>
            <w:vAlign w:val="center"/>
            <w:hideMark/>
          </w:tcPr>
          <w:p w14:paraId="7F545B0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vAlign w:val="center"/>
            <w:hideMark/>
          </w:tcPr>
          <w:p w14:paraId="6235FACE" w14:textId="77777777" w:rsidR="00FB6164" w:rsidRPr="0050011A" w:rsidRDefault="00FB6164">
            <w:pPr>
              <w:spacing w:after="0" w:line="240" w:lineRule="auto"/>
              <w:jc w:val="right"/>
              <w:rPr>
                <w:rFonts w:eastAsia="Times New Roman" w:cs="Arial"/>
                <w:color w:val="000000"/>
                <w:kern w:val="0"/>
                <w:szCs w:val="20"/>
                <w14:ligatures w14:val="none"/>
              </w:rPr>
            </w:pPr>
            <w:r w:rsidRPr="0050011A">
              <w:rPr>
                <w:rFonts w:eastAsia="Times New Roman" w:cs="Arial"/>
                <w:color w:val="000000"/>
                <w:kern w:val="0"/>
                <w:szCs w:val="20"/>
                <w14:ligatures w14:val="none"/>
              </w:rPr>
              <w:t>100%</w:t>
            </w:r>
          </w:p>
        </w:tc>
      </w:tr>
      <w:tr w:rsidR="00FB6164" w:rsidRPr="00F428FF" w14:paraId="153AE71F"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7659BD5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Ethical risks identified vs mitigated</w:t>
            </w:r>
          </w:p>
        </w:tc>
        <w:tc>
          <w:tcPr>
            <w:tcW w:w="2140" w:type="dxa"/>
            <w:tcBorders>
              <w:top w:val="single" w:sz="4" w:space="0" w:color="000000"/>
              <w:left w:val="nil"/>
              <w:bottom w:val="single" w:sz="4" w:space="0" w:color="000000"/>
              <w:right w:val="nil"/>
            </w:tcBorders>
            <w:shd w:val="clear" w:color="D9D9D9" w:fill="D9D9D9"/>
            <w:vAlign w:val="center"/>
            <w:hideMark/>
          </w:tcPr>
          <w:p w14:paraId="6BC1A9F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Effectiveness of ethical oversight</w:t>
            </w:r>
          </w:p>
        </w:tc>
        <w:tc>
          <w:tcPr>
            <w:tcW w:w="1920" w:type="dxa"/>
            <w:tcBorders>
              <w:top w:val="single" w:sz="4" w:space="0" w:color="000000"/>
              <w:left w:val="nil"/>
              <w:bottom w:val="single" w:sz="4" w:space="0" w:color="000000"/>
              <w:right w:val="nil"/>
            </w:tcBorders>
            <w:shd w:val="clear" w:color="D9D9D9" w:fill="D9D9D9"/>
            <w:vAlign w:val="center"/>
            <w:hideMark/>
          </w:tcPr>
          <w:p w14:paraId="7FA25034"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10EBD540"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4260C38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90% mitigated</w:t>
            </w:r>
          </w:p>
        </w:tc>
      </w:tr>
      <w:tr w:rsidR="00FB6164" w:rsidRPr="00F428FF" w14:paraId="08C7EF83"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0FC13D26"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Transparency</w:t>
            </w:r>
          </w:p>
        </w:tc>
        <w:tc>
          <w:tcPr>
            <w:tcW w:w="2140" w:type="dxa"/>
            <w:tcBorders>
              <w:top w:val="single" w:sz="4" w:space="0" w:color="000000"/>
              <w:left w:val="nil"/>
              <w:bottom w:val="single" w:sz="4" w:space="0" w:color="000000"/>
              <w:right w:val="nil"/>
            </w:tcBorders>
            <w:shd w:val="clear" w:color="000000" w:fill="673366"/>
            <w:vAlign w:val="center"/>
            <w:hideMark/>
          </w:tcPr>
          <w:p w14:paraId="035386B7"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3663DEE4"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306AA474"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0633B589"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0C8D9059" w14:textId="77777777">
        <w:trPr>
          <w:trHeight w:val="28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793C248A"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documented data processes</w:t>
            </w:r>
          </w:p>
        </w:tc>
        <w:tc>
          <w:tcPr>
            <w:tcW w:w="2140" w:type="dxa"/>
            <w:tcBorders>
              <w:top w:val="single" w:sz="4" w:space="0" w:color="000000"/>
              <w:left w:val="nil"/>
              <w:bottom w:val="single" w:sz="4" w:space="0" w:color="000000"/>
              <w:right w:val="nil"/>
            </w:tcBorders>
            <w:shd w:val="clear" w:color="D9D9D9" w:fill="D9D9D9"/>
            <w:vAlign w:val="center"/>
            <w:hideMark/>
          </w:tcPr>
          <w:p w14:paraId="1352CBE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Visibility of data activities</w:t>
            </w:r>
          </w:p>
        </w:tc>
        <w:tc>
          <w:tcPr>
            <w:tcW w:w="1920" w:type="dxa"/>
            <w:tcBorders>
              <w:top w:val="single" w:sz="4" w:space="0" w:color="000000"/>
              <w:left w:val="nil"/>
              <w:bottom w:val="single" w:sz="4" w:space="0" w:color="000000"/>
              <w:right w:val="nil"/>
            </w:tcBorders>
            <w:shd w:val="clear" w:color="D9D9D9" w:fill="D9D9D9"/>
            <w:vAlign w:val="center"/>
            <w:hideMark/>
          </w:tcPr>
          <w:p w14:paraId="6A661E6F"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Coordinating Entity</w:t>
            </w:r>
          </w:p>
        </w:tc>
        <w:tc>
          <w:tcPr>
            <w:tcW w:w="1240" w:type="dxa"/>
            <w:tcBorders>
              <w:top w:val="single" w:sz="4" w:space="0" w:color="000000"/>
              <w:left w:val="nil"/>
              <w:bottom w:val="single" w:sz="4" w:space="0" w:color="000000"/>
              <w:right w:val="nil"/>
            </w:tcBorders>
            <w:shd w:val="clear" w:color="D9D9D9" w:fill="D9D9D9"/>
            <w:vAlign w:val="center"/>
            <w:hideMark/>
          </w:tcPr>
          <w:p w14:paraId="6AAA7245"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27EEBB20" w14:textId="77777777" w:rsidR="00FB6164" w:rsidRPr="0050011A" w:rsidRDefault="00FB6164">
            <w:pPr>
              <w:spacing w:after="0" w:line="240" w:lineRule="auto"/>
              <w:jc w:val="right"/>
              <w:rPr>
                <w:rFonts w:eastAsia="Times New Roman" w:cs="Arial"/>
                <w:color w:val="000000"/>
                <w:kern w:val="0"/>
                <w:szCs w:val="20"/>
                <w14:ligatures w14:val="none"/>
              </w:rPr>
            </w:pPr>
            <w:r w:rsidRPr="0050011A">
              <w:rPr>
                <w:rFonts w:eastAsia="Times New Roman" w:cs="Arial"/>
                <w:color w:val="000000"/>
                <w:kern w:val="0"/>
                <w:szCs w:val="20"/>
                <w14:ligatures w14:val="none"/>
              </w:rPr>
              <w:t>100%</w:t>
            </w:r>
          </w:p>
        </w:tc>
      </w:tr>
      <w:tr w:rsidR="00FB6164" w:rsidRPr="00F428FF" w14:paraId="72A4EF5E"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2DE75204"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Stakeholder transparency score</w:t>
            </w:r>
          </w:p>
        </w:tc>
        <w:tc>
          <w:tcPr>
            <w:tcW w:w="2140" w:type="dxa"/>
            <w:tcBorders>
              <w:top w:val="single" w:sz="4" w:space="0" w:color="000000"/>
              <w:left w:val="nil"/>
              <w:bottom w:val="single" w:sz="4" w:space="0" w:color="000000"/>
              <w:right w:val="nil"/>
            </w:tcBorders>
            <w:vAlign w:val="center"/>
            <w:hideMark/>
          </w:tcPr>
          <w:p w14:paraId="1E42395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Perceived openness and transparency</w:t>
            </w:r>
          </w:p>
        </w:tc>
        <w:tc>
          <w:tcPr>
            <w:tcW w:w="1920" w:type="dxa"/>
            <w:tcBorders>
              <w:top w:val="single" w:sz="4" w:space="0" w:color="000000"/>
              <w:left w:val="nil"/>
              <w:bottom w:val="single" w:sz="4" w:space="0" w:color="000000"/>
              <w:right w:val="nil"/>
            </w:tcBorders>
            <w:vAlign w:val="center"/>
            <w:hideMark/>
          </w:tcPr>
          <w:p w14:paraId="6D9DDEC5"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vAlign w:val="center"/>
            <w:hideMark/>
          </w:tcPr>
          <w:p w14:paraId="5C781F8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vAlign w:val="center"/>
            <w:hideMark/>
          </w:tcPr>
          <w:p w14:paraId="075F6B52"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80% satisfaction</w:t>
            </w:r>
          </w:p>
        </w:tc>
      </w:tr>
      <w:tr w:rsidR="00FB6164" w:rsidRPr="00F428FF" w14:paraId="108409A5"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3C7FED6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datasets with clear metadata</w:t>
            </w:r>
          </w:p>
        </w:tc>
        <w:tc>
          <w:tcPr>
            <w:tcW w:w="2140" w:type="dxa"/>
            <w:tcBorders>
              <w:top w:val="single" w:sz="4" w:space="0" w:color="000000"/>
              <w:left w:val="nil"/>
              <w:bottom w:val="single" w:sz="4" w:space="0" w:color="000000"/>
              <w:right w:val="nil"/>
            </w:tcBorders>
            <w:shd w:val="clear" w:color="D9D9D9" w:fill="D9D9D9"/>
            <w:vAlign w:val="center"/>
            <w:hideMark/>
          </w:tcPr>
          <w:p w14:paraId="12C32C7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Dataset traceability and understanding</w:t>
            </w:r>
          </w:p>
        </w:tc>
        <w:tc>
          <w:tcPr>
            <w:tcW w:w="1920" w:type="dxa"/>
            <w:tcBorders>
              <w:top w:val="single" w:sz="4" w:space="0" w:color="000000"/>
              <w:left w:val="nil"/>
              <w:bottom w:val="single" w:sz="4" w:space="0" w:color="000000"/>
              <w:right w:val="nil"/>
            </w:tcBorders>
            <w:shd w:val="clear" w:color="D9D9D9" w:fill="D9D9D9"/>
            <w:vAlign w:val="center"/>
            <w:hideMark/>
          </w:tcPr>
          <w:p w14:paraId="648D6C8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 Providers</w:t>
            </w:r>
          </w:p>
        </w:tc>
        <w:tc>
          <w:tcPr>
            <w:tcW w:w="1240" w:type="dxa"/>
            <w:tcBorders>
              <w:top w:val="single" w:sz="4" w:space="0" w:color="000000"/>
              <w:left w:val="nil"/>
              <w:bottom w:val="single" w:sz="4" w:space="0" w:color="000000"/>
              <w:right w:val="nil"/>
            </w:tcBorders>
            <w:shd w:val="clear" w:color="D9D9D9" w:fill="D9D9D9"/>
            <w:vAlign w:val="center"/>
            <w:hideMark/>
          </w:tcPr>
          <w:p w14:paraId="20886F3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2D1EC54E" w14:textId="77777777" w:rsidR="00FB6164" w:rsidRPr="0050011A" w:rsidRDefault="00FB6164">
            <w:pPr>
              <w:spacing w:after="0" w:line="240" w:lineRule="auto"/>
              <w:jc w:val="right"/>
              <w:rPr>
                <w:rFonts w:eastAsia="Times New Roman" w:cs="Arial"/>
                <w:color w:val="000000"/>
                <w:kern w:val="0"/>
                <w:szCs w:val="20"/>
                <w14:ligatures w14:val="none"/>
              </w:rPr>
            </w:pPr>
            <w:r w:rsidRPr="0050011A">
              <w:rPr>
                <w:rFonts w:eastAsia="Times New Roman" w:cs="Arial"/>
                <w:color w:val="000000"/>
                <w:kern w:val="0"/>
                <w:szCs w:val="20"/>
                <w14:ligatures w14:val="none"/>
              </w:rPr>
              <w:t>100%</w:t>
            </w:r>
          </w:p>
        </w:tc>
      </w:tr>
      <w:tr w:rsidR="00FB6164" w:rsidRPr="00F428FF" w14:paraId="18379B80"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3472BD48"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Accountability</w:t>
            </w:r>
          </w:p>
        </w:tc>
        <w:tc>
          <w:tcPr>
            <w:tcW w:w="2140" w:type="dxa"/>
            <w:tcBorders>
              <w:top w:val="single" w:sz="4" w:space="0" w:color="000000"/>
              <w:left w:val="nil"/>
              <w:bottom w:val="single" w:sz="4" w:space="0" w:color="000000"/>
              <w:right w:val="nil"/>
            </w:tcBorders>
            <w:shd w:val="clear" w:color="000000" w:fill="673366"/>
            <w:vAlign w:val="center"/>
            <w:hideMark/>
          </w:tcPr>
          <w:p w14:paraId="30D451CB"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5C529C08"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6838BD17"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63BB018E"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360E0CB1"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28553B18"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activities with assigned responsible stakeholder</w:t>
            </w:r>
          </w:p>
        </w:tc>
        <w:tc>
          <w:tcPr>
            <w:tcW w:w="2140" w:type="dxa"/>
            <w:tcBorders>
              <w:top w:val="single" w:sz="4" w:space="0" w:color="000000"/>
              <w:left w:val="nil"/>
              <w:bottom w:val="single" w:sz="4" w:space="0" w:color="000000"/>
              <w:right w:val="nil"/>
            </w:tcBorders>
            <w:shd w:val="clear" w:color="D9D9D9" w:fill="D9D9D9"/>
            <w:vAlign w:val="center"/>
            <w:hideMark/>
          </w:tcPr>
          <w:p w14:paraId="68C8C708"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Responsibility assignment</w:t>
            </w:r>
          </w:p>
        </w:tc>
        <w:tc>
          <w:tcPr>
            <w:tcW w:w="1920" w:type="dxa"/>
            <w:tcBorders>
              <w:top w:val="single" w:sz="4" w:space="0" w:color="000000"/>
              <w:left w:val="nil"/>
              <w:bottom w:val="single" w:sz="4" w:space="0" w:color="000000"/>
              <w:right w:val="nil"/>
            </w:tcBorders>
            <w:shd w:val="clear" w:color="D9D9D9" w:fill="D9D9D9"/>
            <w:vAlign w:val="center"/>
            <w:hideMark/>
          </w:tcPr>
          <w:p w14:paraId="79886A6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Coordinating Entity</w:t>
            </w:r>
          </w:p>
        </w:tc>
        <w:tc>
          <w:tcPr>
            <w:tcW w:w="1240" w:type="dxa"/>
            <w:tcBorders>
              <w:top w:val="single" w:sz="4" w:space="0" w:color="000000"/>
              <w:left w:val="nil"/>
              <w:bottom w:val="single" w:sz="4" w:space="0" w:color="000000"/>
              <w:right w:val="nil"/>
            </w:tcBorders>
            <w:shd w:val="clear" w:color="D9D9D9" w:fill="D9D9D9"/>
            <w:vAlign w:val="center"/>
            <w:hideMark/>
          </w:tcPr>
          <w:p w14:paraId="0166CBD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5FA773B0" w14:textId="77777777" w:rsidR="00FB6164" w:rsidRPr="0050011A" w:rsidRDefault="00FB6164">
            <w:pPr>
              <w:spacing w:after="0" w:line="240" w:lineRule="auto"/>
              <w:jc w:val="right"/>
              <w:rPr>
                <w:rFonts w:eastAsia="Times New Roman" w:cs="Arial"/>
                <w:color w:val="000000"/>
                <w:kern w:val="0"/>
                <w:szCs w:val="20"/>
                <w14:ligatures w14:val="none"/>
              </w:rPr>
            </w:pPr>
            <w:r w:rsidRPr="0050011A">
              <w:rPr>
                <w:rFonts w:eastAsia="Times New Roman" w:cs="Arial"/>
                <w:color w:val="000000"/>
                <w:kern w:val="0"/>
                <w:szCs w:val="20"/>
                <w14:ligatures w14:val="none"/>
              </w:rPr>
              <w:t>100%</w:t>
            </w:r>
          </w:p>
        </w:tc>
      </w:tr>
      <w:tr w:rsidR="00FB6164" w:rsidRPr="00F428FF" w14:paraId="063720ED"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5409BAD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Average time to resolve incidents</w:t>
            </w:r>
          </w:p>
        </w:tc>
        <w:tc>
          <w:tcPr>
            <w:tcW w:w="2140" w:type="dxa"/>
            <w:tcBorders>
              <w:top w:val="single" w:sz="4" w:space="0" w:color="000000"/>
              <w:left w:val="nil"/>
              <w:bottom w:val="single" w:sz="4" w:space="0" w:color="000000"/>
              <w:right w:val="nil"/>
            </w:tcBorders>
            <w:vAlign w:val="center"/>
            <w:hideMark/>
          </w:tcPr>
          <w:p w14:paraId="1452A4F4"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Responsiveness and accountability</w:t>
            </w:r>
          </w:p>
        </w:tc>
        <w:tc>
          <w:tcPr>
            <w:tcW w:w="1920" w:type="dxa"/>
            <w:tcBorders>
              <w:top w:val="single" w:sz="4" w:space="0" w:color="000000"/>
              <w:left w:val="nil"/>
              <w:bottom w:val="single" w:sz="4" w:space="0" w:color="000000"/>
              <w:right w:val="nil"/>
            </w:tcBorders>
            <w:vAlign w:val="center"/>
            <w:hideMark/>
          </w:tcPr>
          <w:p w14:paraId="418ED100"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vAlign w:val="center"/>
            <w:hideMark/>
          </w:tcPr>
          <w:p w14:paraId="1EF4B4D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Quarterly</w:t>
            </w:r>
          </w:p>
        </w:tc>
        <w:tc>
          <w:tcPr>
            <w:tcW w:w="1940" w:type="dxa"/>
            <w:tcBorders>
              <w:top w:val="single" w:sz="4" w:space="0" w:color="000000"/>
              <w:left w:val="nil"/>
              <w:bottom w:val="single" w:sz="4" w:space="0" w:color="000000"/>
              <w:right w:val="single" w:sz="4" w:space="0" w:color="000000"/>
            </w:tcBorders>
            <w:vAlign w:val="center"/>
            <w:hideMark/>
          </w:tcPr>
          <w:p w14:paraId="2CCB16D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&lt; 30 days</w:t>
            </w:r>
          </w:p>
        </w:tc>
      </w:tr>
      <w:tr w:rsidR="00FB6164" w:rsidRPr="00F428FF" w14:paraId="4068CA29"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0BF6E524"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Number of governance reviews/audits</w:t>
            </w:r>
          </w:p>
        </w:tc>
        <w:tc>
          <w:tcPr>
            <w:tcW w:w="2140" w:type="dxa"/>
            <w:tcBorders>
              <w:top w:val="single" w:sz="4" w:space="0" w:color="000000"/>
              <w:left w:val="nil"/>
              <w:bottom w:val="single" w:sz="4" w:space="0" w:color="000000"/>
              <w:right w:val="nil"/>
            </w:tcBorders>
            <w:shd w:val="clear" w:color="D9D9D9" w:fill="D9D9D9"/>
            <w:vAlign w:val="center"/>
            <w:hideMark/>
          </w:tcPr>
          <w:p w14:paraId="19C13CA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Oversight activity</w:t>
            </w:r>
          </w:p>
        </w:tc>
        <w:tc>
          <w:tcPr>
            <w:tcW w:w="1920" w:type="dxa"/>
            <w:tcBorders>
              <w:top w:val="single" w:sz="4" w:space="0" w:color="000000"/>
              <w:left w:val="nil"/>
              <w:bottom w:val="single" w:sz="4" w:space="0" w:color="000000"/>
              <w:right w:val="nil"/>
            </w:tcBorders>
            <w:shd w:val="clear" w:color="D9D9D9" w:fill="D9D9D9"/>
            <w:vAlign w:val="center"/>
            <w:hideMark/>
          </w:tcPr>
          <w:p w14:paraId="2541348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5187FE2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692EB87F"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1 annual review + 4 quarterly checks</w:t>
            </w:r>
          </w:p>
        </w:tc>
      </w:tr>
      <w:tr w:rsidR="00FB6164" w:rsidRPr="00F428FF" w14:paraId="3D8C7306"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0F206190"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Adoption</w:t>
            </w:r>
          </w:p>
        </w:tc>
        <w:tc>
          <w:tcPr>
            <w:tcW w:w="2140" w:type="dxa"/>
            <w:tcBorders>
              <w:top w:val="single" w:sz="4" w:space="0" w:color="000000"/>
              <w:left w:val="nil"/>
              <w:bottom w:val="single" w:sz="4" w:space="0" w:color="000000"/>
              <w:right w:val="nil"/>
            </w:tcBorders>
            <w:shd w:val="clear" w:color="000000" w:fill="673366"/>
            <w:vAlign w:val="center"/>
            <w:hideMark/>
          </w:tcPr>
          <w:p w14:paraId="684B7C8B"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32F5D948"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1C9D7181"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5F182D3D"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38884103"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50257C4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stakeholders actively using framework</w:t>
            </w:r>
          </w:p>
        </w:tc>
        <w:tc>
          <w:tcPr>
            <w:tcW w:w="2140" w:type="dxa"/>
            <w:tcBorders>
              <w:top w:val="single" w:sz="4" w:space="0" w:color="000000"/>
              <w:left w:val="nil"/>
              <w:bottom w:val="single" w:sz="4" w:space="0" w:color="000000"/>
              <w:right w:val="nil"/>
            </w:tcBorders>
            <w:shd w:val="clear" w:color="D9D9D9" w:fill="D9D9D9"/>
            <w:vAlign w:val="center"/>
            <w:hideMark/>
          </w:tcPr>
          <w:p w14:paraId="491E8EF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Framework uptake</w:t>
            </w:r>
          </w:p>
        </w:tc>
        <w:tc>
          <w:tcPr>
            <w:tcW w:w="1920" w:type="dxa"/>
            <w:tcBorders>
              <w:top w:val="single" w:sz="4" w:space="0" w:color="000000"/>
              <w:left w:val="nil"/>
              <w:bottom w:val="single" w:sz="4" w:space="0" w:color="000000"/>
              <w:right w:val="nil"/>
            </w:tcBorders>
            <w:shd w:val="clear" w:color="D9D9D9" w:fill="D9D9D9"/>
            <w:vAlign w:val="center"/>
            <w:hideMark/>
          </w:tcPr>
          <w:p w14:paraId="34601A70"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65E2F9B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4F923F0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80%</w:t>
            </w:r>
          </w:p>
        </w:tc>
      </w:tr>
      <w:tr w:rsidR="00FB6164" w:rsidRPr="00F428FF" w14:paraId="05351994"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5E32F1A5"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Number of protocols implemented</w:t>
            </w:r>
          </w:p>
        </w:tc>
        <w:tc>
          <w:tcPr>
            <w:tcW w:w="2140" w:type="dxa"/>
            <w:tcBorders>
              <w:top w:val="single" w:sz="4" w:space="0" w:color="000000"/>
              <w:left w:val="nil"/>
              <w:bottom w:val="single" w:sz="4" w:space="0" w:color="000000"/>
              <w:right w:val="nil"/>
            </w:tcBorders>
            <w:vAlign w:val="center"/>
            <w:hideMark/>
          </w:tcPr>
          <w:p w14:paraId="636D33CF"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Operationalisation of governance</w:t>
            </w:r>
          </w:p>
        </w:tc>
        <w:tc>
          <w:tcPr>
            <w:tcW w:w="1920" w:type="dxa"/>
            <w:tcBorders>
              <w:top w:val="single" w:sz="4" w:space="0" w:color="000000"/>
              <w:left w:val="nil"/>
              <w:bottom w:val="single" w:sz="4" w:space="0" w:color="000000"/>
              <w:right w:val="nil"/>
            </w:tcBorders>
            <w:vAlign w:val="center"/>
            <w:hideMark/>
          </w:tcPr>
          <w:p w14:paraId="6F69897A"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Coordinating Entity</w:t>
            </w:r>
          </w:p>
        </w:tc>
        <w:tc>
          <w:tcPr>
            <w:tcW w:w="1240" w:type="dxa"/>
            <w:tcBorders>
              <w:top w:val="single" w:sz="4" w:space="0" w:color="000000"/>
              <w:left w:val="nil"/>
              <w:bottom w:val="single" w:sz="4" w:space="0" w:color="000000"/>
              <w:right w:val="nil"/>
            </w:tcBorders>
            <w:vAlign w:val="center"/>
            <w:hideMark/>
          </w:tcPr>
          <w:p w14:paraId="3ECC0222"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vAlign w:val="center"/>
            <w:hideMark/>
          </w:tcPr>
          <w:p w14:paraId="337AB31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All core procedures implemented</w:t>
            </w:r>
          </w:p>
        </w:tc>
      </w:tr>
      <w:tr w:rsidR="00FB6164" w:rsidRPr="00F428FF" w14:paraId="5945915A"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6122FA49"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Stakeholder usability score</w:t>
            </w:r>
          </w:p>
        </w:tc>
        <w:tc>
          <w:tcPr>
            <w:tcW w:w="2140" w:type="dxa"/>
            <w:tcBorders>
              <w:top w:val="single" w:sz="4" w:space="0" w:color="000000"/>
              <w:left w:val="nil"/>
              <w:bottom w:val="single" w:sz="4" w:space="0" w:color="000000"/>
              <w:right w:val="nil"/>
            </w:tcBorders>
            <w:shd w:val="clear" w:color="D9D9D9" w:fill="D9D9D9"/>
            <w:vAlign w:val="center"/>
            <w:hideMark/>
          </w:tcPr>
          <w:p w14:paraId="15E8B33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Practical applicability of framework</w:t>
            </w:r>
          </w:p>
        </w:tc>
        <w:tc>
          <w:tcPr>
            <w:tcW w:w="1920" w:type="dxa"/>
            <w:tcBorders>
              <w:top w:val="single" w:sz="4" w:space="0" w:color="000000"/>
              <w:left w:val="nil"/>
              <w:bottom w:val="single" w:sz="4" w:space="0" w:color="000000"/>
              <w:right w:val="nil"/>
            </w:tcBorders>
            <w:shd w:val="clear" w:color="D9D9D9" w:fill="D9D9D9"/>
            <w:vAlign w:val="center"/>
            <w:hideMark/>
          </w:tcPr>
          <w:p w14:paraId="1B2FFFA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1B6F65C3"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1B9FB73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75% positive feedback</w:t>
            </w:r>
          </w:p>
        </w:tc>
      </w:tr>
      <w:tr w:rsidR="00FB6164" w:rsidRPr="00F428FF" w14:paraId="628A3555"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5CE5FCA4"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Data Quality &amp; Reliability</w:t>
            </w:r>
          </w:p>
        </w:tc>
        <w:tc>
          <w:tcPr>
            <w:tcW w:w="2140" w:type="dxa"/>
            <w:tcBorders>
              <w:top w:val="single" w:sz="4" w:space="0" w:color="000000"/>
              <w:left w:val="nil"/>
              <w:bottom w:val="single" w:sz="4" w:space="0" w:color="000000"/>
              <w:right w:val="nil"/>
            </w:tcBorders>
            <w:shd w:val="clear" w:color="000000" w:fill="673366"/>
            <w:vAlign w:val="center"/>
            <w:hideMark/>
          </w:tcPr>
          <w:p w14:paraId="7E19FC56"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45F26A80"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7FEC82B1"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2F5ECA78"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660EEDF7"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6B2CF29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datasets meeting quality standards</w:t>
            </w:r>
          </w:p>
        </w:tc>
        <w:tc>
          <w:tcPr>
            <w:tcW w:w="2140" w:type="dxa"/>
            <w:tcBorders>
              <w:top w:val="single" w:sz="4" w:space="0" w:color="000000"/>
              <w:left w:val="nil"/>
              <w:bottom w:val="single" w:sz="4" w:space="0" w:color="000000"/>
              <w:right w:val="nil"/>
            </w:tcBorders>
            <w:shd w:val="clear" w:color="D9D9D9" w:fill="D9D9D9"/>
            <w:vAlign w:val="center"/>
            <w:hideMark/>
          </w:tcPr>
          <w:p w14:paraId="3664711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Overall data quality</w:t>
            </w:r>
          </w:p>
        </w:tc>
        <w:tc>
          <w:tcPr>
            <w:tcW w:w="1920" w:type="dxa"/>
            <w:tcBorders>
              <w:top w:val="single" w:sz="4" w:space="0" w:color="000000"/>
              <w:left w:val="nil"/>
              <w:bottom w:val="single" w:sz="4" w:space="0" w:color="000000"/>
              <w:right w:val="nil"/>
            </w:tcBorders>
            <w:shd w:val="clear" w:color="D9D9D9" w:fill="D9D9D9"/>
            <w:vAlign w:val="center"/>
            <w:hideMark/>
          </w:tcPr>
          <w:p w14:paraId="4653432A"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 Providers</w:t>
            </w:r>
          </w:p>
        </w:tc>
        <w:tc>
          <w:tcPr>
            <w:tcW w:w="1240" w:type="dxa"/>
            <w:tcBorders>
              <w:top w:val="single" w:sz="4" w:space="0" w:color="000000"/>
              <w:left w:val="nil"/>
              <w:bottom w:val="single" w:sz="4" w:space="0" w:color="000000"/>
              <w:right w:val="nil"/>
            </w:tcBorders>
            <w:shd w:val="clear" w:color="D9D9D9" w:fill="D9D9D9"/>
            <w:vAlign w:val="center"/>
            <w:hideMark/>
          </w:tcPr>
          <w:p w14:paraId="03448AD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Semi-annual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778FE34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95%</w:t>
            </w:r>
          </w:p>
        </w:tc>
      </w:tr>
      <w:tr w:rsidR="00FB6164" w:rsidRPr="00F428FF" w14:paraId="4B083D81"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65CBFF1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Completeness &amp; accuracy score</w:t>
            </w:r>
          </w:p>
        </w:tc>
        <w:tc>
          <w:tcPr>
            <w:tcW w:w="2140" w:type="dxa"/>
            <w:tcBorders>
              <w:top w:val="single" w:sz="4" w:space="0" w:color="000000"/>
              <w:left w:val="nil"/>
              <w:bottom w:val="single" w:sz="4" w:space="0" w:color="000000"/>
              <w:right w:val="nil"/>
            </w:tcBorders>
            <w:vAlign w:val="center"/>
            <w:hideMark/>
          </w:tcPr>
          <w:p w14:paraId="5E06C1F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Dataset reliability</w:t>
            </w:r>
          </w:p>
        </w:tc>
        <w:tc>
          <w:tcPr>
            <w:tcW w:w="1920" w:type="dxa"/>
            <w:tcBorders>
              <w:top w:val="single" w:sz="4" w:space="0" w:color="000000"/>
              <w:left w:val="nil"/>
              <w:bottom w:val="single" w:sz="4" w:space="0" w:color="000000"/>
              <w:right w:val="nil"/>
            </w:tcBorders>
            <w:vAlign w:val="center"/>
            <w:hideMark/>
          </w:tcPr>
          <w:p w14:paraId="444C170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 Providers</w:t>
            </w:r>
          </w:p>
        </w:tc>
        <w:tc>
          <w:tcPr>
            <w:tcW w:w="1240" w:type="dxa"/>
            <w:tcBorders>
              <w:top w:val="single" w:sz="4" w:space="0" w:color="000000"/>
              <w:left w:val="nil"/>
              <w:bottom w:val="single" w:sz="4" w:space="0" w:color="000000"/>
              <w:right w:val="nil"/>
            </w:tcBorders>
            <w:vAlign w:val="center"/>
            <w:hideMark/>
          </w:tcPr>
          <w:p w14:paraId="361CD39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Semi-annual</w:t>
            </w:r>
          </w:p>
        </w:tc>
        <w:tc>
          <w:tcPr>
            <w:tcW w:w="1940" w:type="dxa"/>
            <w:tcBorders>
              <w:top w:val="single" w:sz="4" w:space="0" w:color="000000"/>
              <w:left w:val="nil"/>
              <w:bottom w:val="single" w:sz="4" w:space="0" w:color="000000"/>
              <w:right w:val="single" w:sz="4" w:space="0" w:color="000000"/>
            </w:tcBorders>
            <w:vAlign w:val="center"/>
            <w:hideMark/>
          </w:tcPr>
          <w:p w14:paraId="0AED41F6"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90%</w:t>
            </w:r>
          </w:p>
        </w:tc>
      </w:tr>
      <w:tr w:rsidR="00FB6164" w:rsidRPr="00F428FF" w14:paraId="1207E2B3"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162C4E1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Number of detected data errors</w:t>
            </w:r>
          </w:p>
        </w:tc>
        <w:tc>
          <w:tcPr>
            <w:tcW w:w="2140" w:type="dxa"/>
            <w:tcBorders>
              <w:top w:val="single" w:sz="4" w:space="0" w:color="000000"/>
              <w:left w:val="nil"/>
              <w:bottom w:val="single" w:sz="4" w:space="0" w:color="000000"/>
              <w:right w:val="nil"/>
            </w:tcBorders>
            <w:shd w:val="clear" w:color="D9D9D9" w:fill="D9D9D9"/>
            <w:vAlign w:val="center"/>
            <w:hideMark/>
          </w:tcPr>
          <w:p w14:paraId="3CBD769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 quality issues</w:t>
            </w:r>
          </w:p>
        </w:tc>
        <w:tc>
          <w:tcPr>
            <w:tcW w:w="1920" w:type="dxa"/>
            <w:tcBorders>
              <w:top w:val="single" w:sz="4" w:space="0" w:color="000000"/>
              <w:left w:val="nil"/>
              <w:bottom w:val="single" w:sz="4" w:space="0" w:color="000000"/>
              <w:right w:val="nil"/>
            </w:tcBorders>
            <w:shd w:val="clear" w:color="D9D9D9" w:fill="D9D9D9"/>
            <w:vAlign w:val="center"/>
            <w:hideMark/>
          </w:tcPr>
          <w:p w14:paraId="4B7C5B32"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Data Providers</w:t>
            </w:r>
          </w:p>
        </w:tc>
        <w:tc>
          <w:tcPr>
            <w:tcW w:w="1240" w:type="dxa"/>
            <w:tcBorders>
              <w:top w:val="single" w:sz="4" w:space="0" w:color="000000"/>
              <w:left w:val="nil"/>
              <w:bottom w:val="single" w:sz="4" w:space="0" w:color="000000"/>
              <w:right w:val="nil"/>
            </w:tcBorders>
            <w:shd w:val="clear" w:color="D9D9D9" w:fill="D9D9D9"/>
            <w:vAlign w:val="center"/>
            <w:hideMark/>
          </w:tcPr>
          <w:p w14:paraId="7CC37829"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Semi-annual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71E5A56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Decreasing trend over time</w:t>
            </w:r>
          </w:p>
        </w:tc>
      </w:tr>
      <w:tr w:rsidR="00FB6164" w:rsidRPr="00F428FF" w14:paraId="2F0B60B5"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5390A4FF"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Risk Management</w:t>
            </w:r>
          </w:p>
        </w:tc>
        <w:tc>
          <w:tcPr>
            <w:tcW w:w="2140" w:type="dxa"/>
            <w:tcBorders>
              <w:top w:val="single" w:sz="4" w:space="0" w:color="000000"/>
              <w:left w:val="nil"/>
              <w:bottom w:val="single" w:sz="4" w:space="0" w:color="000000"/>
              <w:right w:val="nil"/>
            </w:tcBorders>
            <w:shd w:val="clear" w:color="000000" w:fill="673366"/>
            <w:vAlign w:val="center"/>
            <w:hideMark/>
          </w:tcPr>
          <w:p w14:paraId="6F16BEC6"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56A1A099"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119AF25D"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00509907"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19E4E4A0"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6289DE50"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Risks identified vs mitigated</w:t>
            </w:r>
          </w:p>
        </w:tc>
        <w:tc>
          <w:tcPr>
            <w:tcW w:w="2140" w:type="dxa"/>
            <w:tcBorders>
              <w:top w:val="single" w:sz="4" w:space="0" w:color="000000"/>
              <w:left w:val="nil"/>
              <w:bottom w:val="single" w:sz="4" w:space="0" w:color="000000"/>
              <w:right w:val="nil"/>
            </w:tcBorders>
            <w:shd w:val="clear" w:color="D9D9D9" w:fill="D9D9D9"/>
            <w:vAlign w:val="center"/>
            <w:hideMark/>
          </w:tcPr>
          <w:p w14:paraId="5E22942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Effectiveness of risk management</w:t>
            </w:r>
          </w:p>
        </w:tc>
        <w:tc>
          <w:tcPr>
            <w:tcW w:w="1920" w:type="dxa"/>
            <w:tcBorders>
              <w:top w:val="single" w:sz="4" w:space="0" w:color="000000"/>
              <w:left w:val="nil"/>
              <w:bottom w:val="single" w:sz="4" w:space="0" w:color="000000"/>
              <w:right w:val="nil"/>
            </w:tcBorders>
            <w:shd w:val="clear" w:color="D9D9D9" w:fill="D9D9D9"/>
            <w:vAlign w:val="center"/>
            <w:hideMark/>
          </w:tcPr>
          <w:p w14:paraId="6F99937F"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71BC6359"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633C430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90% mitigated</w:t>
            </w:r>
          </w:p>
        </w:tc>
      </w:tr>
      <w:tr w:rsidR="00FB6164" w:rsidRPr="00F428FF" w14:paraId="411E4FD8"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7D23899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Reduction in high-risk scenarios</w:t>
            </w:r>
          </w:p>
        </w:tc>
        <w:tc>
          <w:tcPr>
            <w:tcW w:w="2140" w:type="dxa"/>
            <w:tcBorders>
              <w:top w:val="single" w:sz="4" w:space="0" w:color="000000"/>
              <w:left w:val="nil"/>
              <w:bottom w:val="single" w:sz="4" w:space="0" w:color="000000"/>
              <w:right w:val="nil"/>
            </w:tcBorders>
            <w:vAlign w:val="center"/>
            <w:hideMark/>
          </w:tcPr>
          <w:p w14:paraId="576354C7"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Preventive governance performance</w:t>
            </w:r>
          </w:p>
        </w:tc>
        <w:tc>
          <w:tcPr>
            <w:tcW w:w="1920" w:type="dxa"/>
            <w:tcBorders>
              <w:top w:val="single" w:sz="4" w:space="0" w:color="000000"/>
              <w:left w:val="nil"/>
              <w:bottom w:val="single" w:sz="4" w:space="0" w:color="000000"/>
              <w:right w:val="nil"/>
            </w:tcBorders>
            <w:vAlign w:val="center"/>
            <w:hideMark/>
          </w:tcPr>
          <w:p w14:paraId="18B8432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vAlign w:val="center"/>
            <w:hideMark/>
          </w:tcPr>
          <w:p w14:paraId="6FF5792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vAlign w:val="center"/>
            <w:hideMark/>
          </w:tcPr>
          <w:p w14:paraId="373681C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Yearly reduction demonstrated</w:t>
            </w:r>
          </w:p>
        </w:tc>
      </w:tr>
      <w:tr w:rsidR="00FB6164" w:rsidRPr="00F428FF" w14:paraId="68C4860E"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42E9D80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Frequency of risk assessments</w:t>
            </w:r>
          </w:p>
        </w:tc>
        <w:tc>
          <w:tcPr>
            <w:tcW w:w="2140" w:type="dxa"/>
            <w:tcBorders>
              <w:top w:val="single" w:sz="4" w:space="0" w:color="000000"/>
              <w:left w:val="nil"/>
              <w:bottom w:val="single" w:sz="4" w:space="0" w:color="000000"/>
              <w:right w:val="nil"/>
            </w:tcBorders>
            <w:shd w:val="clear" w:color="D9D9D9" w:fill="D9D9D9"/>
            <w:vAlign w:val="center"/>
            <w:hideMark/>
          </w:tcPr>
          <w:p w14:paraId="2012489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Risk monitoring activity</w:t>
            </w:r>
          </w:p>
        </w:tc>
        <w:tc>
          <w:tcPr>
            <w:tcW w:w="1920" w:type="dxa"/>
            <w:tcBorders>
              <w:top w:val="single" w:sz="4" w:space="0" w:color="000000"/>
              <w:left w:val="nil"/>
              <w:bottom w:val="single" w:sz="4" w:space="0" w:color="000000"/>
              <w:right w:val="nil"/>
            </w:tcBorders>
            <w:shd w:val="clear" w:color="D9D9D9" w:fill="D9D9D9"/>
            <w:vAlign w:val="center"/>
            <w:hideMark/>
          </w:tcPr>
          <w:p w14:paraId="787852FF"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3B150808"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30E1FD70"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Minimum 1 assessment per year</w:t>
            </w:r>
          </w:p>
        </w:tc>
      </w:tr>
      <w:tr w:rsidR="00FB6164" w:rsidRPr="00F428FF" w14:paraId="7EE0F70A" w14:textId="77777777">
        <w:trPr>
          <w:trHeight w:val="285"/>
        </w:trPr>
        <w:tc>
          <w:tcPr>
            <w:tcW w:w="2640" w:type="dxa"/>
            <w:tcBorders>
              <w:top w:val="single" w:sz="4" w:space="0" w:color="000000"/>
              <w:left w:val="single" w:sz="4" w:space="0" w:color="000000"/>
              <w:bottom w:val="single" w:sz="4" w:space="0" w:color="000000"/>
              <w:right w:val="nil"/>
            </w:tcBorders>
            <w:shd w:val="clear" w:color="000000" w:fill="673366"/>
            <w:vAlign w:val="center"/>
            <w:hideMark/>
          </w:tcPr>
          <w:p w14:paraId="5657B528" w14:textId="77777777" w:rsidR="00FB6164" w:rsidRPr="0050011A" w:rsidRDefault="00FB6164">
            <w:pPr>
              <w:spacing w:after="0" w:line="240" w:lineRule="auto"/>
              <w:rPr>
                <w:rFonts w:eastAsia="Times New Roman" w:cs="Arial"/>
                <w:b/>
                <w:color w:val="FFFFFF"/>
                <w:kern w:val="0"/>
                <w:szCs w:val="20"/>
                <w14:ligatures w14:val="none"/>
              </w:rPr>
            </w:pPr>
            <w:r w:rsidRPr="0050011A">
              <w:rPr>
                <w:rFonts w:eastAsia="Times New Roman" w:cs="Arial"/>
                <w:b/>
                <w:color w:val="FFFFFF"/>
                <w:kern w:val="0"/>
                <w:szCs w:val="20"/>
                <w14:ligatures w14:val="none"/>
              </w:rPr>
              <w:t>Scalability &amp; Reusability</w:t>
            </w:r>
          </w:p>
        </w:tc>
        <w:tc>
          <w:tcPr>
            <w:tcW w:w="2140" w:type="dxa"/>
            <w:tcBorders>
              <w:top w:val="single" w:sz="4" w:space="0" w:color="000000"/>
              <w:left w:val="nil"/>
              <w:bottom w:val="single" w:sz="4" w:space="0" w:color="000000"/>
              <w:right w:val="nil"/>
            </w:tcBorders>
            <w:shd w:val="clear" w:color="000000" w:fill="673366"/>
            <w:vAlign w:val="center"/>
            <w:hideMark/>
          </w:tcPr>
          <w:p w14:paraId="7DCD92D9"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20" w:type="dxa"/>
            <w:tcBorders>
              <w:top w:val="single" w:sz="4" w:space="0" w:color="000000"/>
              <w:left w:val="nil"/>
              <w:bottom w:val="single" w:sz="4" w:space="0" w:color="000000"/>
              <w:right w:val="nil"/>
            </w:tcBorders>
            <w:shd w:val="clear" w:color="000000" w:fill="673366"/>
            <w:vAlign w:val="center"/>
            <w:hideMark/>
          </w:tcPr>
          <w:p w14:paraId="52878E6F"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240" w:type="dxa"/>
            <w:tcBorders>
              <w:top w:val="single" w:sz="4" w:space="0" w:color="000000"/>
              <w:left w:val="nil"/>
              <w:bottom w:val="single" w:sz="4" w:space="0" w:color="000000"/>
              <w:right w:val="nil"/>
            </w:tcBorders>
            <w:shd w:val="clear" w:color="000000" w:fill="673366"/>
            <w:vAlign w:val="center"/>
            <w:hideMark/>
          </w:tcPr>
          <w:p w14:paraId="35701F0D"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c>
          <w:tcPr>
            <w:tcW w:w="1940" w:type="dxa"/>
            <w:tcBorders>
              <w:top w:val="single" w:sz="4" w:space="0" w:color="000000"/>
              <w:left w:val="nil"/>
              <w:bottom w:val="single" w:sz="4" w:space="0" w:color="000000"/>
              <w:right w:val="single" w:sz="4" w:space="0" w:color="000000"/>
            </w:tcBorders>
            <w:shd w:val="clear" w:color="000000" w:fill="673366"/>
            <w:vAlign w:val="center"/>
            <w:hideMark/>
          </w:tcPr>
          <w:p w14:paraId="296410B0" w14:textId="77777777" w:rsidR="00FB6164" w:rsidRPr="0050011A" w:rsidRDefault="00FB6164">
            <w:pPr>
              <w:spacing w:after="0" w:line="240" w:lineRule="auto"/>
              <w:jc w:val="center"/>
              <w:rPr>
                <w:rFonts w:eastAsia="Times New Roman" w:cs="Arial"/>
                <w:color w:val="FFFFFF"/>
                <w:kern w:val="0"/>
                <w:szCs w:val="20"/>
                <w14:ligatures w14:val="none"/>
              </w:rPr>
            </w:pPr>
            <w:r w:rsidRPr="0050011A">
              <w:rPr>
                <w:rFonts w:eastAsia="Times New Roman" w:cs="Arial"/>
                <w:color w:val="FFFFFF"/>
                <w:kern w:val="0"/>
                <w:szCs w:val="20"/>
                <w14:ligatures w14:val="none"/>
              </w:rPr>
              <w:t> </w:t>
            </w:r>
          </w:p>
        </w:tc>
      </w:tr>
      <w:tr w:rsidR="00FB6164" w:rsidRPr="00F428FF" w14:paraId="5DDE0610" w14:textId="77777777">
        <w:trPr>
          <w:trHeight w:val="525"/>
        </w:trPr>
        <w:tc>
          <w:tcPr>
            <w:tcW w:w="2640" w:type="dxa"/>
            <w:tcBorders>
              <w:top w:val="single" w:sz="4" w:space="0" w:color="000000"/>
              <w:left w:val="single" w:sz="4" w:space="0" w:color="000000"/>
              <w:bottom w:val="single" w:sz="4" w:space="0" w:color="000000"/>
              <w:right w:val="nil"/>
            </w:tcBorders>
            <w:shd w:val="clear" w:color="D9D9D9" w:fill="D9D9D9"/>
            <w:vAlign w:val="center"/>
            <w:hideMark/>
          </w:tcPr>
          <w:p w14:paraId="1772494D"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Number of new use cases applying framework</w:t>
            </w:r>
          </w:p>
        </w:tc>
        <w:tc>
          <w:tcPr>
            <w:tcW w:w="2140" w:type="dxa"/>
            <w:tcBorders>
              <w:top w:val="single" w:sz="4" w:space="0" w:color="000000"/>
              <w:left w:val="nil"/>
              <w:bottom w:val="single" w:sz="4" w:space="0" w:color="000000"/>
              <w:right w:val="nil"/>
            </w:tcBorders>
            <w:shd w:val="clear" w:color="D9D9D9" w:fill="D9D9D9"/>
            <w:vAlign w:val="center"/>
            <w:hideMark/>
          </w:tcPr>
          <w:p w14:paraId="1672BC75"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Framework expansion</w:t>
            </w:r>
          </w:p>
        </w:tc>
        <w:tc>
          <w:tcPr>
            <w:tcW w:w="1920" w:type="dxa"/>
            <w:tcBorders>
              <w:top w:val="single" w:sz="4" w:space="0" w:color="000000"/>
              <w:left w:val="nil"/>
              <w:bottom w:val="single" w:sz="4" w:space="0" w:color="000000"/>
              <w:right w:val="nil"/>
            </w:tcBorders>
            <w:shd w:val="clear" w:color="D9D9D9" w:fill="D9D9D9"/>
            <w:vAlign w:val="center"/>
            <w:hideMark/>
          </w:tcPr>
          <w:p w14:paraId="4AB491C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shd w:val="clear" w:color="D9D9D9" w:fill="D9D9D9"/>
            <w:vAlign w:val="center"/>
            <w:hideMark/>
          </w:tcPr>
          <w:p w14:paraId="0C4A08E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shd w:val="clear" w:color="D9D9D9" w:fill="D9D9D9"/>
            <w:vAlign w:val="center"/>
            <w:hideMark/>
          </w:tcPr>
          <w:p w14:paraId="0F44CFA1"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At least 1 new use case within 3 years</w:t>
            </w:r>
          </w:p>
        </w:tc>
      </w:tr>
      <w:tr w:rsidR="00FB6164" w:rsidRPr="00F428FF" w14:paraId="69846483" w14:textId="77777777">
        <w:trPr>
          <w:trHeight w:val="525"/>
        </w:trPr>
        <w:tc>
          <w:tcPr>
            <w:tcW w:w="2640" w:type="dxa"/>
            <w:tcBorders>
              <w:top w:val="single" w:sz="4" w:space="0" w:color="000000"/>
              <w:left w:val="single" w:sz="4" w:space="0" w:color="000000"/>
              <w:bottom w:val="single" w:sz="4" w:space="0" w:color="000000"/>
              <w:right w:val="nil"/>
            </w:tcBorders>
            <w:vAlign w:val="center"/>
            <w:hideMark/>
          </w:tcPr>
          <w:p w14:paraId="299B84F5"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lastRenderedPageBreak/>
              <w:t>Adaptability assessment score</w:t>
            </w:r>
          </w:p>
        </w:tc>
        <w:tc>
          <w:tcPr>
            <w:tcW w:w="2140" w:type="dxa"/>
            <w:tcBorders>
              <w:top w:val="single" w:sz="4" w:space="0" w:color="000000"/>
              <w:left w:val="nil"/>
              <w:bottom w:val="single" w:sz="4" w:space="0" w:color="000000"/>
              <w:right w:val="nil"/>
            </w:tcBorders>
            <w:vAlign w:val="center"/>
            <w:hideMark/>
          </w:tcPr>
          <w:p w14:paraId="4E48691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Reusability in other contexts</w:t>
            </w:r>
          </w:p>
        </w:tc>
        <w:tc>
          <w:tcPr>
            <w:tcW w:w="1920" w:type="dxa"/>
            <w:tcBorders>
              <w:top w:val="single" w:sz="4" w:space="0" w:color="000000"/>
              <w:left w:val="nil"/>
              <w:bottom w:val="single" w:sz="4" w:space="0" w:color="000000"/>
              <w:right w:val="nil"/>
            </w:tcBorders>
            <w:vAlign w:val="center"/>
            <w:hideMark/>
          </w:tcPr>
          <w:p w14:paraId="4AF593FE"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Governance Authority</w:t>
            </w:r>
          </w:p>
        </w:tc>
        <w:tc>
          <w:tcPr>
            <w:tcW w:w="1240" w:type="dxa"/>
            <w:tcBorders>
              <w:top w:val="single" w:sz="4" w:space="0" w:color="000000"/>
              <w:left w:val="nil"/>
              <w:bottom w:val="single" w:sz="4" w:space="0" w:color="000000"/>
              <w:right w:val="nil"/>
            </w:tcBorders>
            <w:vAlign w:val="center"/>
            <w:hideMark/>
          </w:tcPr>
          <w:p w14:paraId="4A3B46EC"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Annual</w:t>
            </w:r>
          </w:p>
        </w:tc>
        <w:tc>
          <w:tcPr>
            <w:tcW w:w="1940" w:type="dxa"/>
            <w:tcBorders>
              <w:top w:val="single" w:sz="4" w:space="0" w:color="000000"/>
              <w:left w:val="nil"/>
              <w:bottom w:val="single" w:sz="4" w:space="0" w:color="000000"/>
              <w:right w:val="single" w:sz="4" w:space="0" w:color="000000"/>
            </w:tcBorders>
            <w:vAlign w:val="center"/>
            <w:hideMark/>
          </w:tcPr>
          <w:p w14:paraId="5F1CA8CB" w14:textId="77777777" w:rsidR="00FB6164" w:rsidRPr="0050011A" w:rsidRDefault="00FB6164">
            <w:pPr>
              <w:spacing w:after="0" w:line="240" w:lineRule="auto"/>
              <w:rPr>
                <w:rFonts w:eastAsia="Times New Roman" w:cs="Arial"/>
                <w:color w:val="000000"/>
                <w:kern w:val="0"/>
                <w:szCs w:val="20"/>
                <w14:ligatures w14:val="none"/>
              </w:rPr>
            </w:pPr>
            <w:r w:rsidRPr="0050011A">
              <w:rPr>
                <w:rFonts w:eastAsia="Times New Roman" w:cs="Arial"/>
                <w:color w:val="000000"/>
                <w:kern w:val="0"/>
                <w:szCs w:val="20"/>
                <w14:ligatures w14:val="none"/>
              </w:rPr>
              <w:t>≥ 80% positive assessment</w:t>
            </w:r>
          </w:p>
        </w:tc>
      </w:tr>
    </w:tbl>
    <w:p w14:paraId="7AA19976" w14:textId="77777777" w:rsidR="00797F85" w:rsidRPr="0050011A" w:rsidRDefault="00797F85" w:rsidP="00797F85">
      <w:pPr>
        <w:pStyle w:val="Heading2"/>
        <w:rPr>
          <w:rFonts w:cs="Arial"/>
        </w:rPr>
      </w:pPr>
      <w:bookmarkStart w:id="112" w:name="_Toc230347199"/>
      <w:bookmarkStart w:id="113" w:name="_Toc1535513947"/>
      <w:r w:rsidRPr="54AD4DA9">
        <w:rPr>
          <w:rFonts w:cs="Arial"/>
        </w:rPr>
        <w:t>6.3 Recommended Review Cycle</w:t>
      </w:r>
      <w:bookmarkEnd w:id="112"/>
      <w:bookmarkEnd w:id="113"/>
    </w:p>
    <w:p w14:paraId="1AFDC66C" w14:textId="3EE81855" w:rsidR="00DB04FD" w:rsidRPr="0050011A" w:rsidRDefault="005B4D36" w:rsidP="007D72A8">
      <w:pPr>
        <w:pStyle w:val="Heading3"/>
        <w:rPr>
          <w:rFonts w:cs="Arial"/>
        </w:rPr>
      </w:pPr>
      <w:bookmarkStart w:id="114" w:name="_Toc765766622"/>
      <w:r w:rsidRPr="54AD4DA9">
        <w:rPr>
          <w:rFonts w:cs="Arial"/>
        </w:rPr>
        <w:t>6.3.1 Annual Full Review</w:t>
      </w:r>
      <w:bookmarkEnd w:id="114"/>
    </w:p>
    <w:p w14:paraId="51FF7AE2" w14:textId="1ACBA7E6" w:rsidR="007D72A8" w:rsidRPr="0050011A" w:rsidRDefault="00F74761" w:rsidP="007D72A8">
      <w:pPr>
        <w:rPr>
          <w:rFonts w:cs="Arial"/>
        </w:rPr>
      </w:pPr>
      <w:r w:rsidRPr="0050011A">
        <w:rPr>
          <w:rFonts w:cs="Arial"/>
        </w:rPr>
        <w:t>A full KPI review is conducted each year by the Governance Authority. This review covers all KPI dimensions defined in section 6</w:t>
      </w:r>
      <w:r w:rsidR="00F554C5" w:rsidRPr="0050011A">
        <w:rPr>
          <w:rFonts w:cs="Arial"/>
        </w:rPr>
        <w:t>.2</w:t>
      </w:r>
      <w:r w:rsidR="008B3AB1" w:rsidRPr="0050011A">
        <w:rPr>
          <w:rFonts w:cs="Arial"/>
        </w:rPr>
        <w:t>, this includes compliance and ethical use, transparency, accountability, adoption, data quality and risk management. The purpose of this review is to evaluate the effectiveness of the governance framework and to identify areas that</w:t>
      </w:r>
      <w:r w:rsidR="00EA284A" w:rsidRPr="0050011A">
        <w:rPr>
          <w:rFonts w:cs="Arial"/>
        </w:rPr>
        <w:t xml:space="preserve"> could be improved. The results are documented in </w:t>
      </w:r>
      <w:r w:rsidR="00505DE6">
        <w:rPr>
          <w:rFonts w:cs="Arial"/>
        </w:rPr>
        <w:t>an</w:t>
      </w:r>
      <w:r w:rsidR="00EA284A" w:rsidRPr="0050011A">
        <w:rPr>
          <w:rFonts w:cs="Arial"/>
        </w:rPr>
        <w:t xml:space="preserve"> annual report that is shared with all part</w:t>
      </w:r>
      <w:r w:rsidR="00DA76CC" w:rsidRPr="0050011A">
        <w:rPr>
          <w:rFonts w:cs="Arial"/>
        </w:rPr>
        <w:t xml:space="preserve">icipants. The report is </w:t>
      </w:r>
      <w:r w:rsidR="00F83420" w:rsidRPr="0050011A">
        <w:rPr>
          <w:rFonts w:cs="Arial"/>
        </w:rPr>
        <w:t xml:space="preserve">(where </w:t>
      </w:r>
      <w:r w:rsidR="004B7BD7" w:rsidRPr="0050011A">
        <w:rPr>
          <w:rFonts w:cs="Arial"/>
        </w:rPr>
        <w:t>appropriate)</w:t>
      </w:r>
      <w:r w:rsidR="001106BC" w:rsidRPr="0050011A">
        <w:rPr>
          <w:rFonts w:cs="Arial"/>
        </w:rPr>
        <w:t xml:space="preserve"> made available for the public. This is </w:t>
      </w:r>
      <w:r w:rsidR="00A011ED" w:rsidRPr="0050011A">
        <w:rPr>
          <w:rFonts w:cs="Arial"/>
        </w:rPr>
        <w:t xml:space="preserve">part of the </w:t>
      </w:r>
      <w:r w:rsidR="00C1007D" w:rsidRPr="0050011A">
        <w:rPr>
          <w:rFonts w:cs="Arial"/>
        </w:rPr>
        <w:t xml:space="preserve">transparency obligations for the dataspace. </w:t>
      </w:r>
    </w:p>
    <w:p w14:paraId="6240E1D4" w14:textId="330FE162" w:rsidR="005B4D36" w:rsidRPr="0050011A" w:rsidRDefault="005B4D36" w:rsidP="007D72A8">
      <w:pPr>
        <w:pStyle w:val="Heading3"/>
        <w:rPr>
          <w:rFonts w:cs="Arial"/>
        </w:rPr>
      </w:pPr>
      <w:bookmarkStart w:id="115" w:name="_Toc1350733103"/>
      <w:r w:rsidRPr="54AD4DA9">
        <w:rPr>
          <w:rFonts w:cs="Arial"/>
        </w:rPr>
        <w:t>6.3.2 Quarterly Compliance Check</w:t>
      </w:r>
      <w:bookmarkEnd w:id="115"/>
      <w:r w:rsidRPr="54AD4DA9">
        <w:rPr>
          <w:rFonts w:cs="Arial"/>
        </w:rPr>
        <w:t xml:space="preserve"> </w:t>
      </w:r>
    </w:p>
    <w:p w14:paraId="1408AE36" w14:textId="177F3C05" w:rsidR="002F5E5E" w:rsidRPr="0050011A" w:rsidRDefault="006A6552" w:rsidP="002F5E5E">
      <w:pPr>
        <w:rPr>
          <w:rFonts w:cs="Arial"/>
        </w:rPr>
      </w:pPr>
      <w:r w:rsidRPr="0050011A">
        <w:rPr>
          <w:rFonts w:cs="Arial"/>
        </w:rPr>
        <w:t xml:space="preserve">In addition to the annual KPI review, a lighter quarterly </w:t>
      </w:r>
      <w:r w:rsidR="00391CDC" w:rsidRPr="0050011A">
        <w:rPr>
          <w:rFonts w:cs="Arial"/>
        </w:rPr>
        <w:t xml:space="preserve">check is conducted on a small set of critical compliance indicators: the number of reported data misuse </w:t>
      </w:r>
      <w:r w:rsidR="00505DE6">
        <w:rPr>
          <w:rFonts w:cs="Arial"/>
        </w:rPr>
        <w:t>incidents</w:t>
      </w:r>
      <w:r w:rsidR="00391CDC" w:rsidRPr="0050011A">
        <w:rPr>
          <w:rFonts w:cs="Arial"/>
        </w:rPr>
        <w:t xml:space="preserve">, the status of active </w:t>
      </w:r>
      <w:r w:rsidR="003C4A71" w:rsidRPr="0050011A">
        <w:rPr>
          <w:rFonts w:cs="Arial"/>
        </w:rPr>
        <w:t xml:space="preserve">re-identification risks assessments and whether any data-sharing agreements have </w:t>
      </w:r>
      <w:r w:rsidR="0006166E" w:rsidRPr="0050011A">
        <w:rPr>
          <w:rFonts w:cs="Arial"/>
        </w:rPr>
        <w:t xml:space="preserve">expired or have been flagged for non-compliance. This quarterly </w:t>
      </w:r>
      <w:r w:rsidR="00505DE6">
        <w:rPr>
          <w:rFonts w:cs="Arial"/>
        </w:rPr>
        <w:t>check</w:t>
      </w:r>
      <w:r w:rsidR="0006166E" w:rsidRPr="0050011A">
        <w:rPr>
          <w:rFonts w:cs="Arial"/>
        </w:rPr>
        <w:t xml:space="preserve"> does not result in a formal report</w:t>
      </w:r>
      <w:r w:rsidR="00426B43">
        <w:rPr>
          <w:rFonts w:cs="Arial"/>
        </w:rPr>
        <w:t>,</w:t>
      </w:r>
      <w:r w:rsidR="0006166E" w:rsidRPr="0050011A">
        <w:rPr>
          <w:rFonts w:cs="Arial"/>
        </w:rPr>
        <w:t xml:space="preserve"> but it does trigger alerts to the Governance Authority </w:t>
      </w:r>
      <w:r w:rsidR="008F3A54" w:rsidRPr="0050011A">
        <w:rPr>
          <w:rFonts w:cs="Arial"/>
        </w:rPr>
        <w:t xml:space="preserve">if any indicator falls outside of the </w:t>
      </w:r>
      <w:r w:rsidR="005B6A16" w:rsidRPr="0050011A">
        <w:rPr>
          <w:rFonts w:cs="Arial"/>
        </w:rPr>
        <w:t>threshold</w:t>
      </w:r>
      <w:r w:rsidR="008F3A54" w:rsidRPr="0050011A">
        <w:rPr>
          <w:rFonts w:cs="Arial"/>
        </w:rPr>
        <w:t>. This allows problems to be caught and addressed before the annual review rather than only being discovered</w:t>
      </w:r>
      <w:r w:rsidR="003140EF" w:rsidRPr="0050011A">
        <w:rPr>
          <w:rFonts w:cs="Arial"/>
        </w:rPr>
        <w:t xml:space="preserve"> during the annual review. </w:t>
      </w:r>
    </w:p>
    <w:p w14:paraId="3A59AB1A" w14:textId="2B1758FA" w:rsidR="005B4D36" w:rsidRPr="0050011A" w:rsidRDefault="005B4D36" w:rsidP="007D72A8">
      <w:pPr>
        <w:pStyle w:val="Heading3"/>
        <w:rPr>
          <w:rFonts w:cs="Arial"/>
        </w:rPr>
      </w:pPr>
      <w:bookmarkStart w:id="116" w:name="_Toc1395598558"/>
      <w:r w:rsidRPr="54AD4DA9">
        <w:rPr>
          <w:rFonts w:cs="Arial"/>
        </w:rPr>
        <w:t>6.3.3 Acting on Review Outcomes</w:t>
      </w:r>
      <w:bookmarkEnd w:id="116"/>
    </w:p>
    <w:p w14:paraId="3BFA8F0D" w14:textId="26E17C44" w:rsidR="003140EF" w:rsidRPr="0050011A" w:rsidRDefault="007001E6" w:rsidP="003140EF">
      <w:pPr>
        <w:rPr>
          <w:rFonts w:cs="Arial"/>
        </w:rPr>
      </w:pPr>
      <w:r w:rsidRPr="0050011A">
        <w:rPr>
          <w:rFonts w:cs="Arial"/>
        </w:rPr>
        <w:t xml:space="preserve">When the annual review identifies underperformance against a KPI target, the Governance Authority is responsible for determining whether the cause is a failure of practice, a failure of the procedure itself or a change in </w:t>
      </w:r>
      <w:r w:rsidR="00C50B29" w:rsidRPr="0050011A">
        <w:rPr>
          <w:rFonts w:cs="Arial"/>
        </w:rPr>
        <w:t xml:space="preserve">context that </w:t>
      </w:r>
      <w:r w:rsidR="00505DE6">
        <w:rPr>
          <w:rFonts w:cs="Arial"/>
        </w:rPr>
        <w:t>affects</w:t>
      </w:r>
      <w:r w:rsidR="00C50B29" w:rsidRPr="0050011A">
        <w:rPr>
          <w:rFonts w:cs="Arial"/>
        </w:rPr>
        <w:t xml:space="preserve"> the relevance of the framework. Each of these outcomes requires a formal response. Failures in practice trigger the enforcement or remediation process that is outlined in section 5.8</w:t>
      </w:r>
      <w:r w:rsidR="00B46356" w:rsidRPr="0050011A">
        <w:rPr>
          <w:rFonts w:cs="Arial"/>
        </w:rPr>
        <w:t>. Fail</w:t>
      </w:r>
      <w:r w:rsidR="00C60B6D" w:rsidRPr="0050011A">
        <w:rPr>
          <w:rFonts w:cs="Arial"/>
        </w:rPr>
        <w:t xml:space="preserve">ures in the </w:t>
      </w:r>
      <w:r w:rsidR="009A5BB7" w:rsidRPr="0050011A">
        <w:rPr>
          <w:rFonts w:cs="Arial"/>
        </w:rPr>
        <w:t xml:space="preserve">procedure lead to a revision of the governance framework through the established update process. </w:t>
      </w:r>
      <w:r w:rsidR="00E21AB0" w:rsidRPr="0050011A">
        <w:rPr>
          <w:rFonts w:cs="Arial"/>
        </w:rPr>
        <w:t>A change in the context is documented and feeds into a new version of the framework. In all cases, the</w:t>
      </w:r>
      <w:r w:rsidR="00826AC6" w:rsidRPr="0050011A">
        <w:rPr>
          <w:rFonts w:cs="Arial"/>
        </w:rPr>
        <w:t xml:space="preserve"> findings, decisions and </w:t>
      </w:r>
      <w:r w:rsidR="00C32D40" w:rsidRPr="0050011A">
        <w:rPr>
          <w:rFonts w:cs="Arial"/>
        </w:rPr>
        <w:t>reasoning behind them are documented and communicated to the participants.</w:t>
      </w:r>
    </w:p>
    <w:p w14:paraId="0967AA7C" w14:textId="02C80753" w:rsidR="003140EF" w:rsidRPr="0050011A" w:rsidRDefault="000A112D" w:rsidP="003140EF">
      <w:pPr>
        <w:rPr>
          <w:rFonts w:cs="Arial"/>
        </w:rPr>
      </w:pPr>
      <w:r w:rsidRPr="0050011A">
        <w:rPr>
          <w:rFonts w:cs="Arial"/>
        </w:rPr>
        <w:br w:type="page"/>
      </w:r>
    </w:p>
    <w:p w14:paraId="44804748" w14:textId="77777777" w:rsidR="00E612DD" w:rsidRPr="0050011A" w:rsidRDefault="00E612DD" w:rsidP="00E612DD">
      <w:pPr>
        <w:rPr>
          <w:rFonts w:cs="Arial"/>
        </w:rPr>
      </w:pPr>
      <w:bookmarkStart w:id="117" w:name="_Toc230347200"/>
      <w:bookmarkStart w:id="118" w:name="_Toc836136704"/>
      <w:r w:rsidRPr="54AD4DA9">
        <w:rPr>
          <w:rStyle w:val="Heading1Char"/>
          <w:rFonts w:cs="Arial"/>
        </w:rPr>
        <w:lastRenderedPageBreak/>
        <w:t>7. Business Cases</w:t>
      </w:r>
      <w:bookmarkEnd w:id="117"/>
      <w:bookmarkEnd w:id="118"/>
      <w:r w:rsidRPr="54AD4DA9">
        <w:rPr>
          <w:rFonts w:cs="Arial"/>
        </w:rPr>
        <w:t xml:space="preserve"> </w:t>
      </w:r>
    </w:p>
    <w:p w14:paraId="07523DDE" w14:textId="67A606CF" w:rsidR="00CB393E" w:rsidRPr="0050011A" w:rsidRDefault="00CB393E" w:rsidP="00CB393E">
      <w:pPr>
        <w:pStyle w:val="Heading2"/>
        <w:rPr>
          <w:rFonts w:cs="Arial"/>
        </w:rPr>
      </w:pPr>
      <w:bookmarkStart w:id="119" w:name="_Toc230347201"/>
      <w:bookmarkStart w:id="120" w:name="_Toc2141782052"/>
      <w:r w:rsidRPr="54AD4DA9">
        <w:rPr>
          <w:rFonts w:cs="Arial"/>
        </w:rPr>
        <w:t>7.1 Case 1: Managing the Municipality's Dual Role</w:t>
      </w:r>
      <w:bookmarkEnd w:id="119"/>
      <w:bookmarkEnd w:id="120"/>
    </w:p>
    <w:p w14:paraId="58CD268A" w14:textId="0D71F550" w:rsidR="00B96FB8" w:rsidRPr="0050011A" w:rsidRDefault="00D70FF3" w:rsidP="00EE2478">
      <w:pPr>
        <w:pStyle w:val="Heading3"/>
        <w:rPr>
          <w:rFonts w:cs="Arial"/>
        </w:rPr>
      </w:pPr>
      <w:bookmarkStart w:id="121" w:name="_Toc1002708208"/>
      <w:r w:rsidRPr="54AD4DA9">
        <w:rPr>
          <w:rFonts w:cs="Arial"/>
        </w:rPr>
        <w:t>7.1.1 Introduction</w:t>
      </w:r>
      <w:bookmarkEnd w:id="121"/>
    </w:p>
    <w:p w14:paraId="776D05BB" w14:textId="77777777" w:rsidR="00CE466C" w:rsidRPr="0050011A" w:rsidRDefault="00CE466C" w:rsidP="00CE466C">
      <w:pPr>
        <w:rPr>
          <w:rFonts w:cs="Arial"/>
        </w:rPr>
      </w:pPr>
      <w:r w:rsidRPr="0050011A">
        <w:rPr>
          <w:rFonts w:cs="Arial"/>
        </w:rPr>
        <w:t>This business case reviews an important governance challenge within the Inzicht Verlicht dataspace: the Municipality of Eindhoven acts as both the main provider of data and one of its primary users. This creates a situation in which the organisation requesting access to data may also be involved in decisions about granting that access. Without appropriate safeguards, such an arrangement can undermine independent oversight and create conflicts of interest in the management of data access requests.</w:t>
      </w:r>
      <w:r w:rsidRPr="0050011A">
        <w:rPr>
          <w:rFonts w:cs="Arial"/>
        </w:rPr>
        <w:br/>
        <w:t>The case explores how the governance framework proposed in the advisory report manages this risk through the separation of responsibilities, independent review mechanisms, and monitoring requirements. It demonstrates how these measures support fair and accountable decision-making while ensuring that data access remains consistent with the ethical principles of the dataspace.</w:t>
      </w:r>
    </w:p>
    <w:p w14:paraId="2C81DBC8" w14:textId="77777777" w:rsidR="00CE466C" w:rsidRPr="0050011A" w:rsidRDefault="00CE466C" w:rsidP="00CE466C">
      <w:pPr>
        <w:rPr>
          <w:rFonts w:cs="Arial"/>
        </w:rPr>
      </w:pPr>
      <w:r w:rsidRPr="0050011A">
        <w:rPr>
          <w:rFonts w:cs="Arial"/>
        </w:rPr>
        <w:t>This document is intended for policymakers and decision-makers within the Municipality of Eindhoven and the Fontys ICT InnovationLab who are responsible for implementing the governance framework. It should be read alongside sections 5.1, 5.2, 5.4, 5.6, and 5.7 of the advisory report, which describe the governance mechanisms applied in this case.</w:t>
      </w:r>
    </w:p>
    <w:p w14:paraId="084EA894" w14:textId="46FC7B87" w:rsidR="00CE466C" w:rsidRPr="0050011A" w:rsidRDefault="00CE466C" w:rsidP="00F21510">
      <w:pPr>
        <w:pStyle w:val="Heading3"/>
        <w:rPr>
          <w:rFonts w:cs="Arial"/>
        </w:rPr>
      </w:pPr>
      <w:bookmarkStart w:id="122" w:name="_Toc1175123393"/>
      <w:r w:rsidRPr="54AD4DA9">
        <w:rPr>
          <w:rFonts w:cs="Arial"/>
        </w:rPr>
        <w:t xml:space="preserve">7.1.2 </w:t>
      </w:r>
      <w:r w:rsidR="00F21510" w:rsidRPr="54AD4DA9">
        <w:rPr>
          <w:rFonts w:cs="Arial"/>
        </w:rPr>
        <w:t>The Challenge: A Structural Conflict of Interest</w:t>
      </w:r>
      <w:bookmarkEnd w:id="122"/>
    </w:p>
    <w:p w14:paraId="7BE5E1D5" w14:textId="77777777" w:rsidR="00EE2478" w:rsidRPr="0050011A" w:rsidRDefault="00EE2478" w:rsidP="00EE2478">
      <w:pPr>
        <w:rPr>
          <w:rFonts w:cs="Arial"/>
        </w:rPr>
      </w:pPr>
      <w:r w:rsidRPr="0050011A">
        <w:rPr>
          <w:rFonts w:cs="Arial"/>
        </w:rPr>
        <w:t>Within the Inzicht Verlicht dataspace, the Municipality of Eindhoven holds two distinct positions simultaneously. As a data provider, it contributes sensor data collected at the J.F. Kennedylaan intersection, covering traffic flows and air quality measurements. As a data user, it accesses and analyses the same data to inform traffic management policy, urban planning decisions, and environmental enforcement. These roles are not inherently a problem. What makes them significant from an ethical and legal perspective is that the same institution holds them without structural separation or independent oversight.</w:t>
      </w:r>
    </w:p>
    <w:p w14:paraId="3D159241" w14:textId="77777777" w:rsidR="00EE2478" w:rsidRPr="0050011A" w:rsidRDefault="00EE2478" w:rsidP="00EE2478">
      <w:pPr>
        <w:rPr>
          <w:rFonts w:cs="Arial"/>
        </w:rPr>
      </w:pPr>
      <w:r w:rsidRPr="0050011A">
        <w:rPr>
          <w:rFonts w:cs="Arial"/>
        </w:rPr>
        <w:t>This arrangement creates a direct conflict of interest. The organisation that controls what data enters the dataspace and under what conditions is also the organisation that benefits the most from using it. Without an independent check on this arrangement, there is no reliable mechanism to verify that the access decisions are fair, that the data is not being used for purposes beyond those agreed to, or that conditions that are attached to data use are being enforced.</w:t>
      </w:r>
    </w:p>
    <w:p w14:paraId="7F989469" w14:textId="77777777" w:rsidR="00EE2478" w:rsidRPr="0050011A" w:rsidRDefault="00EE2478" w:rsidP="00EE2478">
      <w:pPr>
        <w:rPr>
          <w:rFonts w:cs="Arial"/>
        </w:rPr>
      </w:pPr>
      <w:r w:rsidRPr="0050011A">
        <w:rPr>
          <w:rFonts w:cs="Arial"/>
        </w:rPr>
        <w:t>At the core of this situation is concern with the principle of accountability. When the same actor holds both of the functions, the accountability becomes a matter of self-oversight and self-assessment. The municipality would be overseeing its own data use, which reduces the assurance to other participants, to citizens, or to external regulators. As documented by Micheli (2022), research into public sector dataspaces has shown that allowing the same institution to hold both the data controller and primary data user roles without independent oversight leads to conditions where transparency becomes insufficient and public trust decreases. reinforces this at the regulatory level by explicitly requiring that data sharing arrangements be neutral and independent.</w:t>
      </w:r>
    </w:p>
    <w:p w14:paraId="1B828751" w14:textId="77777777" w:rsidR="00EE2478" w:rsidRPr="0050011A" w:rsidRDefault="00EE2478" w:rsidP="00EE2478">
      <w:pPr>
        <w:rPr>
          <w:rFonts w:cs="Arial"/>
        </w:rPr>
      </w:pPr>
      <w:r w:rsidRPr="0050011A">
        <w:rPr>
          <w:rFonts w:cs="Arial"/>
        </w:rPr>
        <w:t>For the Inzicht Verlicht dataspace, this means the dual role must be explicitly acknowledged and structurally managed. The following sections describe how the governance framework achieves this.</w:t>
      </w:r>
    </w:p>
    <w:p w14:paraId="360D86FE" w14:textId="6649E8FB" w:rsidR="00AB53AE" w:rsidRPr="0050011A" w:rsidRDefault="00AB53AE" w:rsidP="00AB53AE">
      <w:pPr>
        <w:pStyle w:val="Heading3"/>
        <w:rPr>
          <w:rFonts w:cs="Arial"/>
        </w:rPr>
      </w:pPr>
      <w:bookmarkStart w:id="123" w:name="_Toc889570320"/>
      <w:r w:rsidRPr="54AD4DA9">
        <w:rPr>
          <w:rFonts w:cs="Arial"/>
        </w:rPr>
        <w:t xml:space="preserve">7.1.3 </w:t>
      </w:r>
      <w:r w:rsidR="002E091E" w:rsidRPr="54AD4DA9">
        <w:rPr>
          <w:rFonts w:cs="Arial"/>
        </w:rPr>
        <w:t>How the Framework Resolves the Conflict</w:t>
      </w:r>
      <w:bookmarkEnd w:id="123"/>
    </w:p>
    <w:p w14:paraId="40ED3E82" w14:textId="41F447CB" w:rsidR="007C16B6" w:rsidRPr="0050011A" w:rsidRDefault="00D31709" w:rsidP="007C16B6">
      <w:pPr>
        <w:rPr>
          <w:rFonts w:cs="Arial"/>
          <w:b/>
        </w:rPr>
      </w:pPr>
      <w:r w:rsidRPr="0050011A">
        <w:rPr>
          <w:rFonts w:cs="Arial"/>
          <w:b/>
          <w:sz w:val="26"/>
          <w:szCs w:val="26"/>
        </w:rPr>
        <w:t>Role Separation Through the Governance Framework</w:t>
      </w:r>
      <w:r w:rsidR="007E6CDE" w:rsidRPr="0050011A">
        <w:rPr>
          <w:rFonts w:cs="Arial"/>
          <w:b/>
        </w:rPr>
        <w:br/>
      </w:r>
      <w:r w:rsidR="007C16B6" w:rsidRPr="0050011A">
        <w:rPr>
          <w:rFonts w:cs="Arial"/>
        </w:rPr>
        <w:t xml:space="preserve">The governance framework addresses the dual role challenge first through the role definitions that are </w:t>
      </w:r>
      <w:r w:rsidR="007C16B6" w:rsidRPr="0050011A">
        <w:rPr>
          <w:rFonts w:cs="Arial"/>
        </w:rPr>
        <w:lastRenderedPageBreak/>
        <w:t>set in section 5.1 of the advice report. The access approval function is assigned to the Coordinating Entity rather than to the municipality’s operational units. When the municipality, acting in its role as a data user, wants to access data from the dataspace, its request is processed through the same procedure as any other participant’s request. The municipality does not approve its own access.</w:t>
      </w:r>
    </w:p>
    <w:p w14:paraId="6883E2EE" w14:textId="77777777" w:rsidR="007C16B6" w:rsidRPr="0050011A" w:rsidRDefault="007C16B6" w:rsidP="007C16B6">
      <w:pPr>
        <w:rPr>
          <w:rFonts w:cs="Arial"/>
        </w:rPr>
      </w:pPr>
      <w:r w:rsidRPr="0050011A">
        <w:rPr>
          <w:rFonts w:cs="Arial"/>
        </w:rPr>
        <w:t>In practice, the municipality’s data user function submits a formal access request to the Coordinating Entity specifying the data that is being requested, the purpose of use, the legal basis under GDPR, and the intended duration of access. The Coordinating Entity reviews the request against the approval criteria defined in section 5.4, applying the same standards it would apply to any other requesters. The decision is documented and recorded in the governance log. If approved, a use-case-specific data sharing agreement is signed before access begins. If denied, the municipality has access to the same appeals process as any other participant.</w:t>
      </w:r>
    </w:p>
    <w:p w14:paraId="26A5BF45" w14:textId="77777777" w:rsidR="007C16B6" w:rsidRPr="0050011A" w:rsidRDefault="007C16B6" w:rsidP="007C16B6">
      <w:pPr>
        <w:rPr>
          <w:rFonts w:cs="Arial"/>
        </w:rPr>
      </w:pPr>
      <w:r w:rsidRPr="0050011A">
        <w:rPr>
          <w:rFonts w:cs="Arial"/>
        </w:rPr>
        <w:t>This separation does not limit the municipality’s participation in the dataspace. It makes sure that the access approval process works independently from the party requesting access, which is important for accountable governance.</w:t>
      </w:r>
    </w:p>
    <w:p w14:paraId="3974E64B" w14:textId="08F2580A" w:rsidR="00212CF4" w:rsidRPr="0050011A" w:rsidRDefault="007E6CDE" w:rsidP="00212CF4">
      <w:pPr>
        <w:rPr>
          <w:rFonts w:cs="Arial"/>
          <w:b/>
        </w:rPr>
      </w:pPr>
      <w:r w:rsidRPr="0050011A">
        <w:rPr>
          <w:rFonts w:cs="Arial"/>
          <w:b/>
          <w:sz w:val="26"/>
          <w:szCs w:val="26"/>
        </w:rPr>
        <w:t>Binding Commitments Through the Membership Agreement</w:t>
      </w:r>
      <w:r w:rsidR="00212CF4" w:rsidRPr="0050011A">
        <w:rPr>
          <w:rFonts w:cs="Arial"/>
          <w:b/>
        </w:rPr>
        <w:br/>
      </w:r>
      <w:r w:rsidR="00212CF4" w:rsidRPr="0050011A">
        <w:rPr>
          <w:rFonts w:cs="Arial"/>
        </w:rPr>
        <w:t>The membership agreement defined in section 5.2 makes sure that the municipality is bound to the same ethical commitments and obligations as every other participant, regardless of its founding role or institutional position. For the municipality specifically, the membership agreement must note the additional responsibilities that exist due to its dual role. These include maintaining a formal separation between its data provider and user functions, with different designated Reference Persons for each role.</w:t>
      </w:r>
    </w:p>
    <w:p w14:paraId="54B3938D" w14:textId="77777777" w:rsidR="00212CF4" w:rsidRPr="0050011A" w:rsidRDefault="00212CF4" w:rsidP="00212CF4">
      <w:pPr>
        <w:rPr>
          <w:rFonts w:cs="Arial"/>
        </w:rPr>
      </w:pPr>
      <w:r w:rsidRPr="0050011A">
        <w:rPr>
          <w:rFonts w:cs="Arial"/>
        </w:rPr>
        <w:t>The Reference Person for the data provider function is responsible for ensuring that data contributed to the dataspace meets quality standards and is shared under conditions that are consistent with the municipality’s obligations as a provider. The Reference Person for the data user function is responsible for making sure that data access stays within the scope of approved requests and that insights derived from the data are documented and traceable. This separation ensures that the decisions made in one position do not influence decisions made in the other.</w:t>
      </w:r>
    </w:p>
    <w:p w14:paraId="3282AEE2" w14:textId="6D50C2B3" w:rsidR="001D1A93" w:rsidRPr="0050011A" w:rsidRDefault="0094610F" w:rsidP="001D1A93">
      <w:pPr>
        <w:rPr>
          <w:rFonts w:cs="Arial"/>
          <w:b/>
        </w:rPr>
      </w:pPr>
      <w:r w:rsidRPr="0050011A">
        <w:rPr>
          <w:rFonts w:cs="Arial"/>
          <w:b/>
          <w:sz w:val="26"/>
          <w:szCs w:val="26"/>
        </w:rPr>
        <w:t>Independent Oversight Through Monitoring and Audit</w:t>
      </w:r>
      <w:r w:rsidR="001D1A93" w:rsidRPr="0050011A">
        <w:rPr>
          <w:rFonts w:cs="Arial"/>
          <w:b/>
        </w:rPr>
        <w:br/>
      </w:r>
      <w:r w:rsidR="001D1A93" w:rsidRPr="0050011A">
        <w:rPr>
          <w:rFonts w:cs="Arial"/>
        </w:rPr>
        <w:t>The monitoring mechanisms set in section 5.6 provide the ongoing independent oversight needed to manage the dual role in practice. API-key monitoring creates a continuous audit trail of all data access-related events within the dataspace, including those initiated by the municipality in its data user role. This trail is maintained by the Coordinating entity and is available to the Governance Authority at all times. It does not depend on self-reporting by the municipality.</w:t>
      </w:r>
    </w:p>
    <w:p w14:paraId="5A7BF00A" w14:textId="77777777" w:rsidR="001D1A93" w:rsidRPr="0050011A" w:rsidRDefault="001D1A93" w:rsidP="001D1A93">
      <w:pPr>
        <w:rPr>
          <w:rFonts w:cs="Arial"/>
        </w:rPr>
      </w:pPr>
      <w:r w:rsidRPr="0050011A">
        <w:rPr>
          <w:rFonts w:cs="Arial"/>
        </w:rPr>
        <w:t>If the municipality accesses data beyond the scope of an approved request or uses data for a purpose not stated in the access agreement, this will be reflected in the audit trail. The Coordinating Entity reviews the access patterns as part of the periodic compliance audit and flags these anomalies to the Governance Authority. The annual compliance audit includes a specific review of whether the structural separation between the municipality’s provider and user functions is actually being maintained in practice, not only whether individual requests were approved correctly.</w:t>
      </w:r>
    </w:p>
    <w:p w14:paraId="684D30CA" w14:textId="77777777" w:rsidR="00141989" w:rsidRPr="0050011A" w:rsidRDefault="009519F2" w:rsidP="00141989">
      <w:pPr>
        <w:rPr>
          <w:rFonts w:cs="Arial"/>
          <w:b/>
        </w:rPr>
      </w:pPr>
      <w:r w:rsidRPr="0050011A">
        <w:rPr>
          <w:rFonts w:cs="Arial"/>
          <w:b/>
          <w:sz w:val="26"/>
          <w:szCs w:val="26"/>
        </w:rPr>
        <w:t>Ethics Review as an Independent Checkpoint</w:t>
      </w:r>
      <w:r w:rsidR="00141989" w:rsidRPr="0050011A">
        <w:rPr>
          <w:rFonts w:cs="Arial"/>
          <w:b/>
        </w:rPr>
        <w:br/>
      </w:r>
      <w:r w:rsidR="00141989" w:rsidRPr="0050011A">
        <w:rPr>
          <w:rFonts w:cs="Arial"/>
        </w:rPr>
        <w:t>The ethics review process defined in section 5.7 provides an additional checkpoint relevant to the dual role scenario. Before any new use case involving municipal data is approved, a mandatory ethics review must be completed using the ALTAI framework. This review checks whether the proposed use case is consistent with the purpose for which the data was originally collected, whether it carries risks of harm or misuse, and whether sufficient oversight mechanisms are in place.</w:t>
      </w:r>
    </w:p>
    <w:p w14:paraId="4625364A" w14:textId="75A84357" w:rsidR="00141989" w:rsidRPr="0050011A" w:rsidRDefault="00141989" w:rsidP="00141989">
      <w:pPr>
        <w:rPr>
          <w:rFonts w:cs="Arial"/>
          <w:b/>
        </w:rPr>
      </w:pPr>
      <w:r w:rsidRPr="0050011A">
        <w:rPr>
          <w:rFonts w:cs="Arial"/>
        </w:rPr>
        <w:lastRenderedPageBreak/>
        <w:t xml:space="preserve">The review is conducted by or on behalf of the Governance Authority, not by the municipality. Even when a proposed use case is from the municipality and the municipality is the main beneficiary, the ethical assessment is made independently. This reflects the principle that the party most likely to benefit from a use case should not be the party that determines whether it is acceptable from an ethical point of view. </w:t>
      </w:r>
    </w:p>
    <w:p w14:paraId="65BEF739" w14:textId="383B4FD6" w:rsidR="00213986" w:rsidRPr="0050011A" w:rsidRDefault="00213986" w:rsidP="00213986">
      <w:pPr>
        <w:pStyle w:val="Heading3"/>
        <w:rPr>
          <w:rFonts w:cs="Arial"/>
        </w:rPr>
      </w:pPr>
      <w:bookmarkStart w:id="124" w:name="_Toc642625692"/>
      <w:r w:rsidRPr="54AD4DA9">
        <w:rPr>
          <w:rFonts w:cs="Arial"/>
        </w:rPr>
        <w:t xml:space="preserve">7.1.4 </w:t>
      </w:r>
      <w:r w:rsidR="002364A3" w:rsidRPr="54AD4DA9">
        <w:rPr>
          <w:rFonts w:cs="Arial"/>
        </w:rPr>
        <w:t>What Governance Looks Like in Practice</w:t>
      </w:r>
      <w:bookmarkEnd w:id="124"/>
    </w:p>
    <w:p w14:paraId="5B348023" w14:textId="77777777" w:rsidR="00E9376B" w:rsidRPr="0050011A" w:rsidRDefault="00E9376B" w:rsidP="00E9376B">
      <w:pPr>
        <w:rPr>
          <w:rFonts w:cs="Arial"/>
        </w:rPr>
      </w:pPr>
      <w:r w:rsidRPr="0050011A">
        <w:rPr>
          <w:rFonts w:cs="Arial"/>
        </w:rPr>
        <w:t>The following scenario shows how the framework works in a realistic situation.</w:t>
      </w:r>
    </w:p>
    <w:p w14:paraId="0824A36C" w14:textId="77777777" w:rsidR="00E9376B" w:rsidRPr="0050011A" w:rsidRDefault="00E9376B" w:rsidP="00E9376B">
      <w:pPr>
        <w:rPr>
          <w:rFonts w:cs="Arial"/>
        </w:rPr>
      </w:pPr>
      <w:r w:rsidRPr="0050011A">
        <w:rPr>
          <w:rFonts w:cs="Arial"/>
        </w:rPr>
        <w:t>The Municipality of Eindhoven’s traffic management department wants to use air quality data from the J.F. Kennedylaan intersection to inform a new low-emission zone enforcement policy. This is a new use case that goes beyond the original purpose for which the data was collected.</w:t>
      </w:r>
    </w:p>
    <w:p w14:paraId="009E1E82" w14:textId="77777777" w:rsidR="00E9376B" w:rsidRPr="0050011A" w:rsidRDefault="00E9376B" w:rsidP="00E9376B">
      <w:pPr>
        <w:rPr>
          <w:rFonts w:cs="Arial"/>
        </w:rPr>
      </w:pPr>
      <w:r w:rsidRPr="0050011A">
        <w:rPr>
          <w:rFonts w:cs="Arial"/>
        </w:rPr>
        <w:t>The traffic management department, acting in the municipality’s data user role, submits a formal access request to the Coordinating Entity. The request specifies the data required, the policy purpose, the legal basis under GDPR, the intended duration of use, and the intended outputs. The Coordinating entity reviews the request against the approval criteria in section 5.4, assessing whether the stated purpose is in line with the original data collection purpose, whether the scope of access is appropriate for that purpose, and whether adequate data protection measures are set up.</w:t>
      </w:r>
    </w:p>
    <w:p w14:paraId="4D052483" w14:textId="77777777" w:rsidR="00E9376B" w:rsidRPr="0050011A" w:rsidRDefault="00E9376B" w:rsidP="00E9376B">
      <w:pPr>
        <w:rPr>
          <w:rFonts w:cs="Arial"/>
        </w:rPr>
      </w:pPr>
      <w:r w:rsidRPr="0050011A">
        <w:rPr>
          <w:rFonts w:cs="Arial"/>
        </w:rPr>
        <w:t>Because this use case has direct policy implications for citizens, the Coordinating Entity is going to escalate the request to the Governance Authority for an ethics review under the ALTAI framework. The review checks whether the use case respects citizen autonomy, whether it has the risk of discriminatory outcomes, whether the data minimisation principle is being applied, and whether the citizens are being properly informed about how their data is used to enforce decisions.</w:t>
      </w:r>
    </w:p>
    <w:p w14:paraId="595693C6" w14:textId="77777777" w:rsidR="00E9376B" w:rsidRPr="0050011A" w:rsidRDefault="00E9376B" w:rsidP="00E9376B">
      <w:pPr>
        <w:rPr>
          <w:rFonts w:cs="Arial"/>
        </w:rPr>
      </w:pPr>
      <w:r w:rsidRPr="0050011A">
        <w:rPr>
          <w:rFonts w:cs="Arial"/>
        </w:rPr>
        <w:t>If the ethics review is positive, a use-case-specific data sharing agreement is drafted and signed by the municipality’s data user Reference person and the Coordinating Entity. The agreement specifies the exact data to be used, the policy purpose, the duration of access, and the ban on use beyond the stated enforcement goal. API-key monitoring begins from the moment access is granted. The use case is reviewed as a part of the next annual compliance audit to confirm that the data use has stayed within the agreed-upon scope.</w:t>
      </w:r>
    </w:p>
    <w:p w14:paraId="0677A757" w14:textId="69700498" w:rsidR="009519F2" w:rsidRPr="0050011A" w:rsidRDefault="00E9376B" w:rsidP="00E9376B">
      <w:pPr>
        <w:rPr>
          <w:rFonts w:cs="Arial"/>
        </w:rPr>
      </w:pPr>
      <w:r w:rsidRPr="0050011A">
        <w:rPr>
          <w:rFonts w:cs="Arial"/>
        </w:rPr>
        <w:t>Five separate governance mechanisms have been applied throughout this process: role separation through the access request procedure, binding commitments through the data sharing agreement, independent ethics assessment through the Governance Authority, continuous monitoring through API-key tracking, and retrospective verification through the compliance audit. No actor, including the municipality, has been able to approve its own access or self-certify its own compliance.</w:t>
      </w:r>
    </w:p>
    <w:p w14:paraId="725AFFD9" w14:textId="4E0FE038" w:rsidR="009A3FAC" w:rsidRPr="0050011A" w:rsidRDefault="009A3FAC" w:rsidP="009A3FAC">
      <w:pPr>
        <w:pStyle w:val="Heading3"/>
        <w:rPr>
          <w:rFonts w:cs="Arial"/>
        </w:rPr>
      </w:pPr>
      <w:bookmarkStart w:id="125" w:name="_Toc1720485564"/>
      <w:r w:rsidRPr="54AD4DA9">
        <w:rPr>
          <w:rFonts w:cs="Arial"/>
        </w:rPr>
        <w:t>7.1.5 What Governance Looks Like in Practice</w:t>
      </w:r>
      <w:bookmarkEnd w:id="125"/>
    </w:p>
    <w:p w14:paraId="7F2B4391" w14:textId="77777777" w:rsidR="003611D8" w:rsidRPr="0050011A" w:rsidRDefault="003611D8" w:rsidP="003611D8">
      <w:pPr>
        <w:rPr>
          <w:rFonts w:cs="Arial"/>
        </w:rPr>
      </w:pPr>
      <w:r w:rsidRPr="0050011A">
        <w:rPr>
          <w:rFonts w:cs="Arial"/>
        </w:rPr>
        <w:t>Applying the governance framework to manage the municipality’s dual role results in multiple concrete benefits that go beyond meeting legal requirements.</w:t>
      </w:r>
      <w:bookmarkStart w:id="126" w:name="_Toc231569712"/>
    </w:p>
    <w:p w14:paraId="39F7AE85" w14:textId="0A61A7AA" w:rsidR="003611D8" w:rsidRPr="0050011A" w:rsidRDefault="003611D8" w:rsidP="003611D8">
      <w:pPr>
        <w:rPr>
          <w:rFonts w:cs="Arial"/>
          <w:b/>
          <w:sz w:val="28"/>
          <w:szCs w:val="28"/>
        </w:rPr>
      </w:pPr>
      <w:r w:rsidRPr="0050011A">
        <w:rPr>
          <w:rFonts w:cs="Arial"/>
          <w:b/>
          <w:sz w:val="26"/>
          <w:szCs w:val="26"/>
        </w:rPr>
        <w:t>Public trust and legitimacy:</w:t>
      </w:r>
      <w:bookmarkEnd w:id="126"/>
      <w:r w:rsidRPr="0050011A">
        <w:rPr>
          <w:rFonts w:cs="Arial"/>
          <w:b/>
          <w:sz w:val="28"/>
          <w:szCs w:val="28"/>
        </w:rPr>
        <w:br/>
      </w:r>
      <w:r w:rsidRPr="0050011A">
        <w:rPr>
          <w:rFonts w:cs="Arial"/>
        </w:rPr>
        <w:t>Showing that the municipality’s data use is reviewed independently helps ensure that participants and citizens can trust that decisions are made fairly and transparently. This is particularly important because the municipality acts as both a provider and a user of data within the dataspace. By applying the same governance requirements to the municipality as to every other participant, the framework shows that accountability mechanisms apply equally to all organisations, regardless of their role or influence within the dataspace.</w:t>
      </w:r>
      <w:bookmarkStart w:id="127" w:name="_Toc231569713"/>
    </w:p>
    <w:p w14:paraId="56E83721" w14:textId="77777777" w:rsidR="003611D8" w:rsidRPr="0050011A" w:rsidRDefault="003611D8" w:rsidP="003611D8">
      <w:pPr>
        <w:rPr>
          <w:rFonts w:cs="Arial"/>
        </w:rPr>
      </w:pPr>
      <w:r w:rsidRPr="0050011A">
        <w:rPr>
          <w:rFonts w:cs="Arial"/>
          <w:b/>
          <w:sz w:val="26"/>
          <w:szCs w:val="26"/>
        </w:rPr>
        <w:t>Legal compliance and reduced regulatory risk:</w:t>
      </w:r>
      <w:bookmarkEnd w:id="127"/>
      <w:r w:rsidRPr="0050011A">
        <w:rPr>
          <w:rFonts w:cs="Arial"/>
          <w:b/>
          <w:sz w:val="28"/>
          <w:szCs w:val="28"/>
        </w:rPr>
        <w:br/>
      </w:r>
      <w:r w:rsidRPr="0050011A">
        <w:rPr>
          <w:rFonts w:cs="Arial"/>
        </w:rPr>
        <w:t xml:space="preserve">The Data Governance Act requires neutrality and independence in data sharing agreements. Having an independent Coordinating Entity handle access requests and separating the municipality’s provider </w:t>
      </w:r>
      <w:r w:rsidRPr="0050011A">
        <w:rPr>
          <w:rFonts w:cs="Arial"/>
        </w:rPr>
        <w:lastRenderedPageBreak/>
        <w:t>and user functions, the dataspace creates a clear record of independent review. This helps demonstrate compliance with the neutrality and independence principles reflected in the Data Governance Act and provides evidence that access decisions are subject to oversight.</w:t>
      </w:r>
      <w:bookmarkStart w:id="128" w:name="_Toc231569714"/>
    </w:p>
    <w:p w14:paraId="32CEB6C6" w14:textId="77777777" w:rsidR="003611D8" w:rsidRPr="0050011A" w:rsidRDefault="003611D8" w:rsidP="003611D8">
      <w:pPr>
        <w:rPr>
          <w:rFonts w:cs="Arial"/>
        </w:rPr>
      </w:pPr>
      <w:r w:rsidRPr="0050011A">
        <w:rPr>
          <w:rFonts w:cs="Arial"/>
          <w:b/>
          <w:sz w:val="26"/>
          <w:szCs w:val="26"/>
        </w:rPr>
        <w:t>Defensible decision-making:</w:t>
      </w:r>
      <w:bookmarkEnd w:id="128"/>
      <w:r w:rsidRPr="0050011A">
        <w:rPr>
          <w:rFonts w:cs="Arial"/>
          <w:b/>
          <w:sz w:val="32"/>
          <w:szCs w:val="32"/>
        </w:rPr>
        <w:br/>
      </w:r>
      <w:r w:rsidRPr="0050011A">
        <w:rPr>
          <w:rFonts w:cs="Arial"/>
        </w:rPr>
        <w:t>Every access request, ethics review, and data sharing agreement produces documented evidence that governance processes were followed. If a policy decision informed by dataspace data is later questioned, the municipality can demonstrate that the data was accessed under an approved and independently reviewed agreement, providing protection against both reputational and legal challenges.</w:t>
      </w:r>
      <w:bookmarkStart w:id="129" w:name="_Toc231569715"/>
    </w:p>
    <w:p w14:paraId="0629F353" w14:textId="63BFCE43" w:rsidR="00766349" w:rsidRPr="0050011A" w:rsidRDefault="003611D8" w:rsidP="00766349">
      <w:pPr>
        <w:rPr>
          <w:rFonts w:cs="Arial"/>
        </w:rPr>
      </w:pPr>
      <w:r w:rsidRPr="0050011A">
        <w:rPr>
          <w:rFonts w:cs="Arial"/>
          <w:b/>
          <w:sz w:val="26"/>
          <w:szCs w:val="26"/>
        </w:rPr>
        <w:t>Improved internal clarity:</w:t>
      </w:r>
      <w:bookmarkEnd w:id="129"/>
      <w:r w:rsidRPr="0050011A">
        <w:rPr>
          <w:rFonts w:cs="Arial"/>
          <w:b/>
          <w:sz w:val="32"/>
          <w:szCs w:val="32"/>
        </w:rPr>
        <w:br/>
      </w:r>
      <w:r w:rsidRPr="0050011A">
        <w:rPr>
          <w:rFonts w:cs="Arial"/>
        </w:rPr>
        <w:t>Treating the municipality's provider and user functions as separate roles, each with its own designated Reference Person, creates a clearer allocation of responsibilities. Questions about data access, data quality, compliance, or oversight can be directed to a specific accountable individual rather than being dispersed across departments. This reduces ambiguity and makes it easier to identify who is responsible for particular decisions.</w:t>
      </w:r>
      <w:bookmarkStart w:id="130" w:name="_Toc231569716"/>
    </w:p>
    <w:p w14:paraId="4AEC32DE" w14:textId="3BEB75B9" w:rsidR="003611D8" w:rsidRPr="0050011A" w:rsidRDefault="003611D8" w:rsidP="003611D8">
      <w:pPr>
        <w:rPr>
          <w:rFonts w:cs="Arial"/>
          <w:b/>
          <w:sz w:val="32"/>
          <w:szCs w:val="32"/>
        </w:rPr>
      </w:pPr>
      <w:r w:rsidRPr="0050011A">
        <w:rPr>
          <w:rFonts w:cs="Arial"/>
          <w:b/>
          <w:sz w:val="26"/>
          <w:szCs w:val="26"/>
        </w:rPr>
        <w:t>A replicable governance model:</w:t>
      </w:r>
      <w:bookmarkEnd w:id="130"/>
      <w:r w:rsidR="00766349" w:rsidRPr="0050011A">
        <w:rPr>
          <w:rFonts w:cs="Arial"/>
          <w:b/>
          <w:sz w:val="32"/>
          <w:szCs w:val="32"/>
        </w:rPr>
        <w:br/>
      </w:r>
      <w:r w:rsidRPr="0050011A">
        <w:rPr>
          <w:rFonts w:cs="Arial"/>
        </w:rPr>
        <w:t>By working through the dual role challenge explicitly, the Inzicht Verlicht dataspace produces an approach that other European smart city initiatives facing the same structural situation can learn from and adapt, which contributes to the broader DS4SSCC goal of building transferable governance standards.</w:t>
      </w:r>
    </w:p>
    <w:p w14:paraId="79316F20" w14:textId="588A7FC3" w:rsidR="001F2101" w:rsidRPr="0050011A" w:rsidRDefault="001F2101" w:rsidP="001F2101">
      <w:pPr>
        <w:pStyle w:val="Heading3"/>
        <w:rPr>
          <w:rFonts w:cs="Arial"/>
        </w:rPr>
      </w:pPr>
      <w:bookmarkStart w:id="131" w:name="_Toc1107449750"/>
      <w:r w:rsidRPr="54AD4DA9">
        <w:rPr>
          <w:rFonts w:cs="Arial"/>
        </w:rPr>
        <w:t xml:space="preserve">7.1.6 </w:t>
      </w:r>
      <w:r w:rsidR="0068313D" w:rsidRPr="54AD4DA9">
        <w:rPr>
          <w:rFonts w:cs="Arial"/>
        </w:rPr>
        <w:t>Alternatives Considered</w:t>
      </w:r>
      <w:bookmarkEnd w:id="131"/>
    </w:p>
    <w:p w14:paraId="5D23BC87" w14:textId="77777777" w:rsidR="00D6008E" w:rsidRPr="0050011A" w:rsidRDefault="00967067" w:rsidP="00D6008E">
      <w:pPr>
        <w:rPr>
          <w:rFonts w:cs="Arial"/>
        </w:rPr>
      </w:pPr>
      <w:r w:rsidRPr="0050011A">
        <w:rPr>
          <w:rFonts w:cs="Arial"/>
        </w:rPr>
        <w:t>Three alternative approaches to managing the municipal dual role were considered. Each is described alongside the reasons it was found to be less suitable than the recommended framework.</w:t>
      </w:r>
      <w:bookmarkStart w:id="132" w:name="_Toc231569718"/>
    </w:p>
    <w:p w14:paraId="2BCAB392" w14:textId="0809514F" w:rsidR="00003D0C" w:rsidRPr="0050011A" w:rsidRDefault="00967067" w:rsidP="00003D0C">
      <w:pPr>
        <w:rPr>
          <w:rFonts w:cs="Arial"/>
        </w:rPr>
      </w:pPr>
      <w:r w:rsidRPr="0050011A">
        <w:rPr>
          <w:rFonts w:cs="Arial"/>
          <w:b/>
          <w:sz w:val="26"/>
          <w:szCs w:val="26"/>
        </w:rPr>
        <w:t>Alternative 1: Rely on existing organisational safeguards</w:t>
      </w:r>
      <w:bookmarkEnd w:id="132"/>
      <w:r w:rsidR="00D6008E" w:rsidRPr="0050011A">
        <w:rPr>
          <w:rFonts w:cs="Arial"/>
        </w:rPr>
        <w:br/>
      </w:r>
      <w:r w:rsidRPr="0050011A">
        <w:rPr>
          <w:rFonts w:cs="Arial"/>
        </w:rPr>
        <w:t>The simplest alternative is to acknowledge the dual role but take no structural action, relying on the municipality's commitment to responsible data use. While this requires no additional governance infrastructure, it is not suitable from both an ethical and a legal standpoint. The Data Governance Act does not allow neutrality to be asserted, as it must be shown through structural arrangements. Accountability that is dependent on good intentions rather than on structure does not give any verifiable assurance to participants of the dataspace, citizens or regulators. This alternative was not chosen because it does not meet the minimum requirements for a trustworthy governance framework.</w:t>
      </w:r>
      <w:bookmarkStart w:id="133" w:name="_Toc231569719"/>
    </w:p>
    <w:p w14:paraId="36A5CB1E" w14:textId="7EE8B0D8" w:rsidR="00967067" w:rsidRPr="0050011A" w:rsidRDefault="00967067" w:rsidP="00967067">
      <w:pPr>
        <w:rPr>
          <w:rFonts w:cs="Arial"/>
          <w:b/>
          <w:sz w:val="28"/>
          <w:szCs w:val="28"/>
        </w:rPr>
      </w:pPr>
      <w:r w:rsidRPr="0050011A">
        <w:rPr>
          <w:rFonts w:cs="Arial"/>
          <w:b/>
          <w:sz w:val="26"/>
          <w:szCs w:val="26"/>
        </w:rPr>
        <w:t>Alternative 2: Appoint a fully independent external oversight body</w:t>
      </w:r>
      <w:bookmarkEnd w:id="133"/>
      <w:r w:rsidR="00D6008E" w:rsidRPr="0050011A">
        <w:rPr>
          <w:rFonts w:cs="Arial"/>
          <w:b/>
          <w:sz w:val="28"/>
          <w:szCs w:val="28"/>
        </w:rPr>
        <w:br/>
      </w:r>
      <w:r w:rsidRPr="0050011A">
        <w:rPr>
          <w:rFonts w:cs="Arial"/>
        </w:rPr>
        <w:t>A more robust alternative would be to appoint an external body with no direct stake in the dataspace to oversee all data access decisions. This would provide the strongest structural independence. However, maintaining such a body would require dedicated funding, formal governance arrangements, and individuals with sufficient knowledge of both the dataspace and its regulatory obligations. Given the current scale of the Inzicht verlicht pilot, these requirements would add significant complexity and could delay implementation. While a fully independent oversight body may become appropriate if the dataspace expands, it was considered disproportionate for the current phase of development.</w:t>
      </w:r>
      <w:bookmarkStart w:id="134" w:name="_Toc231569720"/>
    </w:p>
    <w:p w14:paraId="45C425F6" w14:textId="2ACE4457" w:rsidR="00967067" w:rsidRPr="0050011A" w:rsidRDefault="00967067" w:rsidP="00967067">
      <w:pPr>
        <w:rPr>
          <w:rFonts w:cs="Arial"/>
        </w:rPr>
      </w:pPr>
      <w:r w:rsidRPr="0050011A">
        <w:rPr>
          <w:rFonts w:cs="Arial"/>
          <w:b/>
          <w:sz w:val="26"/>
          <w:szCs w:val="26"/>
        </w:rPr>
        <w:t>Alternative 3: Remove the municipality's data user role</w:t>
      </w:r>
      <w:bookmarkEnd w:id="134"/>
      <w:r w:rsidRPr="0050011A">
        <w:rPr>
          <w:rFonts w:cs="Arial"/>
        </w:rPr>
        <w:br/>
        <w:t>A third option would be to prevent the municipality from acting as a data user and limit its role to providing data. This would remove the conflict of interest by ensuring that the organisation supplying data is not also requesting access to it.</w:t>
      </w:r>
      <w:r w:rsidRPr="0050011A">
        <w:rPr>
          <w:rFonts w:cs="Arial"/>
          <w:b/>
        </w:rPr>
        <w:t xml:space="preserve"> However, in practice, the municipality </w:t>
      </w:r>
      <w:r w:rsidRPr="0050011A">
        <w:rPr>
          <w:rFonts w:cs="Arial"/>
        </w:rPr>
        <w:t xml:space="preserve">is one of the primary organisations expected to use the data for traffic management, urban planning, and environmental </w:t>
      </w:r>
      <w:r w:rsidRPr="0050011A">
        <w:rPr>
          <w:rFonts w:cs="Arial"/>
        </w:rPr>
        <w:lastRenderedPageBreak/>
        <w:t>policy. Removing access would significantly reduce the practical value of the dataspace and undermine several of the public-sector use cases that justify its creation. For this reason, the option was rejected in favour of governance measures that manage the conflict of interest while preserving the municipality's ability to use the data.</w:t>
      </w:r>
    </w:p>
    <w:p w14:paraId="5D42F8E2" w14:textId="261C434E" w:rsidR="00803848" w:rsidRPr="0050011A" w:rsidRDefault="00803848" w:rsidP="00803848">
      <w:pPr>
        <w:pStyle w:val="Heading3"/>
        <w:rPr>
          <w:rFonts w:cs="Arial"/>
        </w:rPr>
      </w:pPr>
      <w:bookmarkStart w:id="135" w:name="_Toc1865222046"/>
      <w:r w:rsidRPr="54AD4DA9">
        <w:rPr>
          <w:rFonts w:cs="Arial"/>
        </w:rPr>
        <w:t>7.1.</w:t>
      </w:r>
      <w:r w:rsidR="00851D4F" w:rsidRPr="54AD4DA9">
        <w:rPr>
          <w:rFonts w:cs="Arial"/>
        </w:rPr>
        <w:t>7</w:t>
      </w:r>
      <w:r w:rsidRPr="54AD4DA9">
        <w:rPr>
          <w:rFonts w:cs="Arial"/>
        </w:rPr>
        <w:t xml:space="preserve"> </w:t>
      </w:r>
      <w:r w:rsidR="00702ED3" w:rsidRPr="54AD4DA9">
        <w:rPr>
          <w:rFonts w:cs="Arial"/>
        </w:rPr>
        <w:t>Feasibility Considerations</w:t>
      </w:r>
      <w:bookmarkEnd w:id="135"/>
    </w:p>
    <w:p w14:paraId="570125FF" w14:textId="77777777" w:rsidR="00CB669A" w:rsidRPr="0050011A" w:rsidRDefault="00CB669A" w:rsidP="00CB669A">
      <w:pPr>
        <w:rPr>
          <w:rFonts w:cs="Arial"/>
        </w:rPr>
      </w:pPr>
      <w:r w:rsidRPr="0050011A">
        <w:rPr>
          <w:rFonts w:cs="Arial"/>
        </w:rPr>
        <w:t>The governance approach described in this business case is designed to be implementable within the existing structures of the Inzicht Verlicht dataspace without requiring significant new resources or external infrastructure.</w:t>
      </w:r>
      <w:bookmarkStart w:id="136" w:name="_Toc231569722"/>
    </w:p>
    <w:p w14:paraId="29C16DE7" w14:textId="77777777" w:rsidR="00CB669A" w:rsidRPr="0050011A" w:rsidRDefault="00CB669A" w:rsidP="00CB669A">
      <w:pPr>
        <w:rPr>
          <w:rFonts w:cs="Arial"/>
        </w:rPr>
      </w:pPr>
      <w:r w:rsidRPr="0050011A">
        <w:rPr>
          <w:rFonts w:cs="Arial"/>
          <w:b/>
          <w:sz w:val="26"/>
          <w:szCs w:val="26"/>
        </w:rPr>
        <w:t>Personnel requirements</w:t>
      </w:r>
      <w:bookmarkEnd w:id="136"/>
      <w:r w:rsidRPr="0050011A">
        <w:rPr>
          <w:rFonts w:cs="Arial"/>
          <w:b/>
          <w:sz w:val="26"/>
          <w:szCs w:val="26"/>
        </w:rPr>
        <w:br/>
      </w:r>
      <w:r w:rsidRPr="0050011A">
        <w:rPr>
          <w:rFonts w:cs="Arial"/>
        </w:rPr>
        <w:t>The primary requirement is the designation of Reference Persons within the municipality for the data provider and data user functions. These do not need to be full-time governance roles. In the short term, they can be assigned to existing staff with relevant responsibilities, such as a Data Protection Officer or a project manager with data governance experience, provided those individuals have sufficient organisational authority to act on compliance matters.</w:t>
      </w:r>
      <w:bookmarkStart w:id="137" w:name="_Toc231569723"/>
    </w:p>
    <w:p w14:paraId="3741D0D0" w14:textId="6CE5E295" w:rsidR="00CA4108" w:rsidRPr="0050011A" w:rsidRDefault="00CB669A" w:rsidP="00CA4108">
      <w:pPr>
        <w:rPr>
          <w:rFonts w:cs="Arial"/>
          <w:b/>
          <w:sz w:val="26"/>
          <w:szCs w:val="26"/>
        </w:rPr>
      </w:pPr>
      <w:r w:rsidRPr="0050011A">
        <w:rPr>
          <w:rFonts w:cs="Arial"/>
          <w:b/>
          <w:sz w:val="26"/>
          <w:szCs w:val="26"/>
        </w:rPr>
        <w:t>Implementation risks</w:t>
      </w:r>
      <w:bookmarkEnd w:id="137"/>
      <w:r w:rsidR="00CA4108" w:rsidRPr="0050011A">
        <w:rPr>
          <w:rFonts w:cs="Arial"/>
          <w:b/>
          <w:sz w:val="26"/>
          <w:szCs w:val="26"/>
        </w:rPr>
        <w:br/>
      </w:r>
      <w:r w:rsidRPr="0050011A">
        <w:rPr>
          <w:rFonts w:cs="Arial"/>
        </w:rPr>
        <w:t>The main risk is internal resistance to the structural separation of the municipality's provider and user functions. Departments that are used to direct and have unrestricted access to data that they have collected might find the access request process an additional administrative step that is unnecessary. Managing this risk requires clear communication about why the governance process exists and what it protects. The strategic roadmap in section 8.1 of the advisory report notes this communication as a part of the immediate actions phase.</w:t>
      </w:r>
      <w:bookmarkStart w:id="138" w:name="_Toc231569724"/>
    </w:p>
    <w:p w14:paraId="08827922" w14:textId="5DE7D902" w:rsidR="00CB669A" w:rsidRPr="0050011A" w:rsidRDefault="00CB669A" w:rsidP="00CB669A">
      <w:pPr>
        <w:rPr>
          <w:rFonts w:cs="Arial"/>
        </w:rPr>
      </w:pPr>
      <w:r w:rsidRPr="0050011A">
        <w:rPr>
          <w:rFonts w:cs="Arial"/>
          <w:b/>
          <w:sz w:val="26"/>
          <w:szCs w:val="26"/>
        </w:rPr>
        <w:t>Scalability</w:t>
      </w:r>
      <w:bookmarkEnd w:id="138"/>
      <w:r w:rsidR="00CA4108" w:rsidRPr="0050011A">
        <w:rPr>
          <w:rFonts w:cs="Arial"/>
        </w:rPr>
        <w:br/>
      </w:r>
      <w:r w:rsidRPr="0050011A">
        <w:rPr>
          <w:rFonts w:cs="Arial"/>
        </w:rPr>
        <w:t>The governance mechanisms that are applied in this case are defined in the framework as standard procedures that apply to every participant and to every use case. This means the approach does not need to be redesigned as the data space grows. New participants and new use cases are absorbed into the same structure, which makes the dual role management approach suitable over time.</w:t>
      </w:r>
    </w:p>
    <w:p w14:paraId="1E7B9ED9" w14:textId="2426B6A9" w:rsidR="004057DE" w:rsidRPr="0050011A" w:rsidRDefault="004057DE" w:rsidP="004057DE">
      <w:pPr>
        <w:pStyle w:val="Heading3"/>
        <w:rPr>
          <w:rFonts w:cs="Arial"/>
        </w:rPr>
      </w:pPr>
      <w:bookmarkStart w:id="139" w:name="_Toc1468588649"/>
      <w:r w:rsidRPr="54AD4DA9">
        <w:rPr>
          <w:rFonts w:cs="Arial"/>
        </w:rPr>
        <w:t xml:space="preserve">7.1.8 </w:t>
      </w:r>
      <w:r w:rsidR="0046519A" w:rsidRPr="54AD4DA9">
        <w:rPr>
          <w:rFonts w:cs="Arial"/>
        </w:rPr>
        <w:t>Documentation Produced</w:t>
      </w:r>
      <w:bookmarkEnd w:id="139"/>
    </w:p>
    <w:p w14:paraId="73D107BD" w14:textId="77777777" w:rsidR="00AA37A8" w:rsidRPr="0050011A" w:rsidRDefault="00AA37A8" w:rsidP="00AA37A8">
      <w:pPr>
        <w:rPr>
          <w:rFonts w:cs="Arial"/>
        </w:rPr>
      </w:pPr>
      <w:r w:rsidRPr="0050011A">
        <w:rPr>
          <w:rFonts w:cs="Arial"/>
        </w:rPr>
        <w:t>The governance process described in this business case produces the following documentation, each serving as evidence that the dual role is being managed transparently and in accordance with the framework.</w:t>
      </w:r>
    </w:p>
    <w:p w14:paraId="3522CAD5" w14:textId="72960302" w:rsidR="00AA37A8" w:rsidRPr="0050011A" w:rsidRDefault="00AA37A8" w:rsidP="00AA37A8">
      <w:pPr>
        <w:rPr>
          <w:rFonts w:cs="Arial"/>
        </w:rPr>
      </w:pPr>
      <w:r w:rsidRPr="0050011A">
        <w:rPr>
          <w:rFonts w:cs="Arial"/>
        </w:rPr>
        <w:t xml:space="preserve">The access request form </w:t>
      </w:r>
      <w:r w:rsidR="00F623A0">
        <w:rPr>
          <w:rFonts w:cs="Arial"/>
        </w:rPr>
        <w:t xml:space="preserve">is </w:t>
      </w:r>
      <w:r w:rsidRPr="0050011A">
        <w:rPr>
          <w:rFonts w:cs="Arial"/>
        </w:rPr>
        <w:t xml:space="preserve">submitted by the municipality’s data user role function, which specifies the purpose, legal basis, and scope of the request. The Coordinating Entity’s review record, which documents the assessment against the approval criteria and the decision that was reached. The ethics review report produced under the ALTAI framework, which documents the assessment findings and the Governance Authority’s approval decision. The use-case-specific data sharing agreement </w:t>
      </w:r>
      <w:r w:rsidR="00F623A0">
        <w:rPr>
          <w:rFonts w:cs="Arial"/>
        </w:rPr>
        <w:t xml:space="preserve">is </w:t>
      </w:r>
      <w:r w:rsidRPr="0050011A">
        <w:rPr>
          <w:rFonts w:cs="Arial"/>
        </w:rPr>
        <w:t>signed by both parties before the access begins. The API-key audit log recording all data access events that are associated with the approved use case. Lastly, the compliance audit report section that addresses the dual role management review.</w:t>
      </w:r>
    </w:p>
    <w:p w14:paraId="12CC19E2" w14:textId="77777777" w:rsidR="00AA37A8" w:rsidRPr="0050011A" w:rsidRDefault="00AA37A8" w:rsidP="00AA37A8">
      <w:pPr>
        <w:rPr>
          <w:rFonts w:cs="Arial"/>
        </w:rPr>
      </w:pPr>
      <w:r w:rsidRPr="0050011A">
        <w:rPr>
          <w:rFonts w:cs="Arial"/>
        </w:rPr>
        <w:t xml:space="preserve">Together, this documentation provides a transparent and verifiable record that the municipality’s dual role has been managed through independent governance processes. This record is available to external regulators, should there be questions about the conditions under which data is being used. </w:t>
      </w:r>
    </w:p>
    <w:p w14:paraId="2AD5D588" w14:textId="3A5A22C7" w:rsidR="00AA37A8" w:rsidRPr="0050011A" w:rsidRDefault="00AA37A8" w:rsidP="00AA37A8">
      <w:pPr>
        <w:pStyle w:val="Heading3"/>
        <w:rPr>
          <w:rFonts w:cs="Arial"/>
        </w:rPr>
      </w:pPr>
      <w:bookmarkStart w:id="140" w:name="_Toc267052404"/>
      <w:r w:rsidRPr="54AD4DA9">
        <w:rPr>
          <w:rFonts w:cs="Arial"/>
        </w:rPr>
        <w:t xml:space="preserve">7.1.9 </w:t>
      </w:r>
      <w:r w:rsidR="001D3766" w:rsidRPr="54AD4DA9">
        <w:rPr>
          <w:rFonts w:cs="Arial"/>
        </w:rPr>
        <w:t>Why This Matters beyond Eindhoven</w:t>
      </w:r>
      <w:bookmarkEnd w:id="140"/>
    </w:p>
    <w:p w14:paraId="5695648B" w14:textId="77777777" w:rsidR="009B2B5A" w:rsidRPr="0050011A" w:rsidRDefault="009B2B5A" w:rsidP="009B2B5A">
      <w:pPr>
        <w:rPr>
          <w:rFonts w:cs="Arial"/>
        </w:rPr>
      </w:pPr>
      <w:r w:rsidRPr="0050011A">
        <w:rPr>
          <w:rFonts w:cs="Arial"/>
        </w:rPr>
        <w:t xml:space="preserve">The dual role situation described in this business case is not unique to Eindhoven. Across European smart city dataspaces, municipalities frequently find themselves acting as both the primary contributor </w:t>
      </w:r>
      <w:r w:rsidRPr="0050011A">
        <w:rPr>
          <w:rFonts w:cs="Arial"/>
        </w:rPr>
        <w:lastRenderedPageBreak/>
        <w:t>and primary beneficiary of shared data. The DS4SSCC Blueprint acknowledges this as a recurring structural challenge in the governance of local data ecosystems.</w:t>
      </w:r>
    </w:p>
    <w:p w14:paraId="3C3F12BF" w14:textId="77777777" w:rsidR="009B2B5A" w:rsidRPr="0050011A" w:rsidRDefault="009B2B5A" w:rsidP="009B2B5A">
      <w:pPr>
        <w:rPr>
          <w:rFonts w:cs="Arial"/>
        </w:rPr>
      </w:pPr>
      <w:r w:rsidRPr="0050011A">
        <w:rPr>
          <w:rFonts w:cs="Arial"/>
        </w:rPr>
        <w:t>The approach applied here shows that the dual role can be managed without restricting the municipality from fulfilling its legitimate public interest functions. Structural separation, independent process oversight, and transparent documentation are more reliable safeguards than relying on the goodwill of an institution. By addressing this challenge explicitly, the Inzicht Verlicht dataspace produces a governance model that other European smart city initiatives can adapt and build on, which contributes to the wider goal of consistent and trustworthy data governance across smart communities.</w:t>
      </w:r>
    </w:p>
    <w:p w14:paraId="2DADE52E" w14:textId="35EAAAE3" w:rsidR="00985FC6" w:rsidRPr="0050011A" w:rsidRDefault="00985FC6" w:rsidP="00985FC6">
      <w:pPr>
        <w:pStyle w:val="Heading3"/>
        <w:rPr>
          <w:rFonts w:cs="Arial"/>
        </w:rPr>
      </w:pPr>
      <w:bookmarkStart w:id="141" w:name="_Toc556222604"/>
      <w:r w:rsidRPr="54AD4DA9">
        <w:rPr>
          <w:rFonts w:cs="Arial"/>
        </w:rPr>
        <w:t xml:space="preserve">7.1.10 </w:t>
      </w:r>
      <w:r w:rsidR="00F70AC2" w:rsidRPr="54AD4DA9">
        <w:rPr>
          <w:rFonts w:cs="Arial"/>
        </w:rPr>
        <w:t>Conclusion</w:t>
      </w:r>
      <w:bookmarkEnd w:id="141"/>
    </w:p>
    <w:p w14:paraId="67CEE450" w14:textId="746F914F" w:rsidR="009A3FAC" w:rsidRPr="00C3314A" w:rsidRDefault="00CF7774" w:rsidP="00CB393E">
      <w:pPr>
        <w:rPr>
          <w:rFonts w:cs="Arial"/>
        </w:rPr>
      </w:pPr>
      <w:r w:rsidRPr="0050011A">
        <w:rPr>
          <w:rFonts w:cs="Arial"/>
        </w:rPr>
        <w:t>The Municipality of Eindhoven's dual role as data provider and data user within the Inzicht Verlicht dataspace presents a conflict of interest that requires explicit governance rather than informal management. The framework addresses this through four mechanisms: role separation through the access approval process, binding commitments through membership and data sharing agreements, independent oversight through monitoring and audit, and independent ethical assessment through the mandatory ethics review. Together, these mechanisms ensure the municipality is able to participate fully in the dataspace while staying subject to the same governance processes as every other participant. The outcome is a structure where accountability is more genuine rather than just assumed, and where the public interest is protected through design rather than through trust alone.</w:t>
      </w:r>
    </w:p>
    <w:p w14:paraId="7FB5B9C6" w14:textId="7E5ACDB6" w:rsidR="00CB393E" w:rsidRPr="0050011A" w:rsidRDefault="00CB393E" w:rsidP="00CB393E">
      <w:pPr>
        <w:pStyle w:val="Heading2"/>
        <w:rPr>
          <w:rFonts w:cs="Arial"/>
        </w:rPr>
      </w:pPr>
      <w:bookmarkStart w:id="142" w:name="_Toc230347202"/>
      <w:bookmarkStart w:id="143" w:name="_Toc794560925"/>
      <w:r w:rsidRPr="54AD4DA9">
        <w:rPr>
          <w:rFonts w:cs="Arial"/>
        </w:rPr>
        <w:t xml:space="preserve">7.2 Case 2: </w:t>
      </w:r>
      <w:bookmarkEnd w:id="142"/>
      <w:r w:rsidR="00AA01BE" w:rsidRPr="54AD4DA9">
        <w:rPr>
          <w:rFonts w:cs="Arial"/>
        </w:rPr>
        <w:t>Mission Creep</w:t>
      </w:r>
      <w:bookmarkEnd w:id="143"/>
    </w:p>
    <w:p w14:paraId="12AA455C" w14:textId="77777777" w:rsidR="00771D08" w:rsidRPr="0050011A" w:rsidRDefault="00771D08" w:rsidP="00771D08">
      <w:pPr>
        <w:pStyle w:val="Heading3"/>
        <w:rPr>
          <w:rFonts w:cs="Arial"/>
          <w:lang w:eastAsia="nl-NL"/>
        </w:rPr>
      </w:pPr>
      <w:bookmarkStart w:id="144" w:name="_Toc1727020745"/>
      <w:r w:rsidRPr="54AD4DA9">
        <w:rPr>
          <w:rFonts w:cs="Arial"/>
          <w:lang w:eastAsia="nl-NL"/>
        </w:rPr>
        <w:t>7.2.1 Introduction</w:t>
      </w:r>
      <w:bookmarkEnd w:id="144"/>
    </w:p>
    <w:p w14:paraId="29339FE2"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biggest governance failures in data-driven projects rarely start with a clear mistake. They start with a small, reasonable-sounding expansion of what is already being done. One extra dataset. A slightly broader use of existing data. A logical next step that nobody formally approved. Over time, these steps add up to something that looks very little like what was originally agreed. This is mission creep, and it is one of the most common and least visible risks in smart city dataspaces.</w:t>
      </w:r>
    </w:p>
    <w:p w14:paraId="3C896330"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This case shows how the governance framework in this document is designed to recognise and stop mission creep, not only in cases of clear misuse, but also in the small, step-by-step expansions that are hardest to spot.</w:t>
      </w:r>
    </w:p>
    <w:p w14:paraId="7DAF0A37" w14:textId="77777777" w:rsidR="00771D08" w:rsidRPr="0050011A" w:rsidRDefault="00771D08" w:rsidP="00771D08">
      <w:pPr>
        <w:pStyle w:val="Heading3"/>
        <w:rPr>
          <w:rFonts w:cs="Arial"/>
          <w:lang w:eastAsia="nl-NL"/>
        </w:rPr>
      </w:pPr>
      <w:bookmarkStart w:id="145" w:name="_Toc900113546"/>
      <w:r w:rsidRPr="54AD4DA9">
        <w:rPr>
          <w:rFonts w:cs="Arial"/>
          <w:lang w:eastAsia="nl-NL"/>
        </w:rPr>
        <w:t>7.2.2 The challenge: expanding usage without formal approval</w:t>
      </w:r>
      <w:bookmarkEnd w:id="145"/>
    </w:p>
    <w:p w14:paraId="3F27E1C2" w14:textId="7ED5F06A"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 xml:space="preserve">The Inzicht Verlicht dataspace was set up for one specific purpose: monitoring traffic flows and air quality on the J.F. Kennedylaan in Eindhoven to support municipal mobility and environmental policy. That purpose is the boundary within which all data collection, data sharing and data usage </w:t>
      </w:r>
      <w:r w:rsidR="00426B43">
        <w:rPr>
          <w:rFonts w:eastAsia="Times New Roman" w:cs="Arial"/>
          <w:kern w:val="0"/>
          <w:lang w:eastAsia="nl-NL"/>
          <w14:ligatures w14:val="none"/>
        </w:rPr>
        <w:t>have</w:t>
      </w:r>
      <w:r w:rsidRPr="0050011A">
        <w:rPr>
          <w:rFonts w:eastAsia="Times New Roman" w:cs="Arial"/>
          <w:kern w:val="0"/>
          <w:lang w:eastAsia="nl-NL"/>
          <w14:ligatures w14:val="none"/>
        </w:rPr>
        <w:t xml:space="preserve"> been agreed.</w:t>
      </w:r>
    </w:p>
    <w:p w14:paraId="780C9A07" w14:textId="626BC91D"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But data that exists tends to attract new uses. Consider the following scenario. The Municipality of Eindhoven has used the existing traffic data to produce a successful analysis of traffic flow on the J.F. Kennedylaan. A policy advisor suggests using the same data to map cycling behaviour in the surrounding streets. The step seems small</w:t>
      </w:r>
      <w:r w:rsidR="00C929C6">
        <w:rPr>
          <w:rFonts w:eastAsia="Times New Roman" w:cs="Arial"/>
          <w:kern w:val="0"/>
          <w:lang w:eastAsia="nl-NL"/>
          <w14:ligatures w14:val="none"/>
        </w:rPr>
        <w:t>,</w:t>
      </w:r>
      <w:r w:rsidRPr="0050011A">
        <w:rPr>
          <w:rFonts w:eastAsia="Times New Roman" w:cs="Arial"/>
          <w:kern w:val="0"/>
          <w:lang w:eastAsia="nl-NL"/>
          <w14:ligatures w14:val="none"/>
        </w:rPr>
        <w:t xml:space="preserve"> and the goal is related to the original purpose. A few months later, a research institution proposes combining the air quality data with health data from the municipal health service to study the health effects of air pollution at </w:t>
      </w:r>
      <w:r w:rsidR="00C929C6">
        <w:rPr>
          <w:rFonts w:eastAsia="Times New Roman" w:cs="Arial"/>
          <w:kern w:val="0"/>
          <w:lang w:eastAsia="nl-NL"/>
          <w14:ligatures w14:val="none"/>
        </w:rPr>
        <w:t xml:space="preserve">the </w:t>
      </w:r>
      <w:r w:rsidRPr="0050011A">
        <w:rPr>
          <w:rFonts w:eastAsia="Times New Roman" w:cs="Arial"/>
          <w:kern w:val="0"/>
          <w:lang w:eastAsia="nl-NL"/>
          <w14:ligatures w14:val="none"/>
        </w:rPr>
        <w:t>neighbourhood level.</w:t>
      </w:r>
    </w:p>
    <w:p w14:paraId="167DF47C"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 xml:space="preserve">Both proposals are well-intentioned. Neither falls within the original purpose for which the data was collected. The data sharing agreement did not cover cycling behaviour analysis. The ethics assessment was not carried out for combining air quality data with health data. The citizens whose </w:t>
      </w:r>
      <w:r w:rsidRPr="0050011A">
        <w:rPr>
          <w:rFonts w:eastAsia="Times New Roman" w:cs="Arial"/>
          <w:kern w:val="0"/>
          <w:lang w:eastAsia="nl-NL"/>
          <w14:ligatures w14:val="none"/>
        </w:rPr>
        <w:lastRenderedPageBreak/>
        <w:t>environment is being monitored did not give consent for these new applications. This is mission creep.</w:t>
      </w:r>
    </w:p>
    <w:p w14:paraId="7918E8C6"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GDPR is clear on this point. Article 5 states that personal data must be collected for specific, clearly described and legitimate purposes and must not be processed further in a way that is in conflict with those purposes. The DS4SSCC Blueprint reinforces this through the requirement of purpose limitation, which applies to all data sharing within the dataspace, regardless of whether the data appears to be directly personal. Without actively enforcing these boundaries, a dataspace can end up far outside its original purpose without any single decision ever having looked like a mistake.</w:t>
      </w:r>
    </w:p>
    <w:p w14:paraId="4BA6E8D1" w14:textId="77777777" w:rsidR="00771D08" w:rsidRPr="0050011A" w:rsidRDefault="00771D08" w:rsidP="00771D08">
      <w:pPr>
        <w:pStyle w:val="Heading3"/>
        <w:rPr>
          <w:rFonts w:cs="Arial"/>
          <w:lang w:eastAsia="nl-NL"/>
        </w:rPr>
      </w:pPr>
      <w:bookmarkStart w:id="146" w:name="_Toc1563662931"/>
      <w:r w:rsidRPr="54AD4DA9">
        <w:rPr>
          <w:rFonts w:cs="Arial"/>
          <w:lang w:eastAsia="nl-NL"/>
        </w:rPr>
        <w:t>7.2.3 How the framework addresses this</w:t>
      </w:r>
      <w:bookmarkEnd w:id="146"/>
    </w:p>
    <w:p w14:paraId="5D3E818D"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governance framework in this document addresses mission creep at four separate points, so that no single part carries the full responsibility for prevention.</w:t>
      </w:r>
    </w:p>
    <w:p w14:paraId="41FCE014"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first point is the data sharing agreement from section 5.2. Every agreement sets out the purpose, the permitted uses, the duration and the conditions for data usage. Using traffic data for cycling behaviour analysis falls outside the agreed purpose. That use is not permitted without a new agreement. The framework does not rely on participants policing this boundary themselves. The agreement itself sets that boundary.</w:t>
      </w:r>
    </w:p>
    <w:p w14:paraId="1D2D41A6" w14:textId="62C30588"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second point is the ethics assessment procedure from section 5.7. Combining air quality data with health data from the municipal health service is a new use case with a different risk profile than the original purpose. This requires a new ethics assessment before it can be approved. As set out in section 5.7, a use case can be legally permitted and still be rejected on ethical grounds, for example</w:t>
      </w:r>
      <w:r w:rsidR="00FE648B">
        <w:rPr>
          <w:rFonts w:eastAsia="Times New Roman" w:cs="Arial"/>
          <w:kern w:val="0"/>
          <w:lang w:eastAsia="nl-NL"/>
          <w14:ligatures w14:val="none"/>
        </w:rPr>
        <w:t>,</w:t>
      </w:r>
      <w:r w:rsidRPr="0050011A">
        <w:rPr>
          <w:rFonts w:eastAsia="Times New Roman" w:cs="Arial"/>
          <w:kern w:val="0"/>
          <w:lang w:eastAsia="nl-NL"/>
          <w14:ligatures w14:val="none"/>
        </w:rPr>
        <w:t xml:space="preserve"> because it affects groups of citizens in ways that were not anticipated or for which no consent was given. The ethics assessment is the part of the framework that makes this </w:t>
      </w:r>
      <w:r w:rsidR="00FE648B">
        <w:rPr>
          <w:rFonts w:eastAsia="Times New Roman" w:cs="Arial"/>
          <w:kern w:val="0"/>
          <w:lang w:eastAsia="nl-NL"/>
          <w14:ligatures w14:val="none"/>
        </w:rPr>
        <w:t>judgment</w:t>
      </w:r>
      <w:r w:rsidRPr="0050011A">
        <w:rPr>
          <w:rFonts w:eastAsia="Times New Roman" w:cs="Arial"/>
          <w:kern w:val="0"/>
          <w:lang w:eastAsia="nl-NL"/>
          <w14:ligatures w14:val="none"/>
        </w:rPr>
        <w:t xml:space="preserve"> formal and transparent.</w:t>
      </w:r>
    </w:p>
    <w:p w14:paraId="6C3C43BC"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third point is the API-key monitoring from section 5.6. Every data request is logged and linked to the approved purpose for which access was granted. If a participant requests data in a way that falls outside their registered use, the system flags this. The Governance Authority receives a notification and can step in before the misuse becomes a habit.</w:t>
      </w:r>
    </w:p>
    <w:p w14:paraId="5EFF799B"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fourth point is the regular review from section 5.6. The Governance Authority does not only assess individual requests. It also regularly looks at the overall pattern of usage within the dataspace to check whether that pattern still aligns with the agreed purposes and governance requirements. This means that mission creep that develops gradually through many small steps can still be identified and addressed before it becomes a fixed pattern.</w:t>
      </w:r>
    </w:p>
    <w:p w14:paraId="09E92852" w14:textId="77777777" w:rsidR="00771D08" w:rsidRPr="0050011A" w:rsidRDefault="00771D08" w:rsidP="00771D08">
      <w:pPr>
        <w:pStyle w:val="Heading3"/>
        <w:rPr>
          <w:rFonts w:cs="Arial"/>
          <w:lang w:eastAsia="nl-NL"/>
        </w:rPr>
      </w:pPr>
      <w:bookmarkStart w:id="147" w:name="_Toc1264665192"/>
      <w:r w:rsidRPr="54AD4DA9">
        <w:rPr>
          <w:rFonts w:cs="Arial"/>
          <w:lang w:eastAsia="nl-NL"/>
        </w:rPr>
        <w:t>7.2.4 What governance looks like in practice</w:t>
      </w:r>
      <w:bookmarkEnd w:id="147"/>
    </w:p>
    <w:p w14:paraId="50BC92AD"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When the policy advisor submits the proposal to use traffic data for cycling behaviour analysis, the Coordinating Entity checks it against the existing data sharing agreement. The proposal falls outside the agreed purpose. The Coordinating Entity informs the advisor that a new agreement is required, covering the new purpose, the data involved, the duration and the applicable conditions. Until that agreement is signed and approved by the Governance Authority, the new use does not go ahead.</w:t>
      </w:r>
    </w:p>
    <w:p w14:paraId="6D53DC39" w14:textId="428CCA78"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 xml:space="preserve">When the research institution submits the proposal to combine air quality data with health data, the Coordinating Entity starts the ethics assessment procedure from section 5.7. The Governance Authority assesses the proposal against the Principlism principles. The assessment raises a concern: combining air quality and health data at </w:t>
      </w:r>
      <w:r w:rsidR="00774B4A">
        <w:rPr>
          <w:rFonts w:eastAsia="Times New Roman" w:cs="Arial"/>
          <w:kern w:val="0"/>
          <w:lang w:eastAsia="nl-NL"/>
          <w14:ligatures w14:val="none"/>
        </w:rPr>
        <w:t xml:space="preserve">the </w:t>
      </w:r>
      <w:r w:rsidRPr="0050011A">
        <w:rPr>
          <w:rFonts w:eastAsia="Times New Roman" w:cs="Arial"/>
          <w:kern w:val="0"/>
          <w:lang w:eastAsia="nl-NL"/>
          <w14:ligatures w14:val="none"/>
        </w:rPr>
        <w:t>neighbourhood level may make it possible to identify individuals or groups in ways that go beyond what was originally agreed with those involved. The application is sent back with a required corrective action. The research institution must show how this risk is addressed before a new assessment takes place.</w:t>
      </w:r>
    </w:p>
    <w:p w14:paraId="45346DB1"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lastRenderedPageBreak/>
        <w:t>Meanwhile, the API-key monitoring system records all data requests. If a participant requests data outside the boundaries of their approved use, this is visible in the audit log. The Coordinating Entity reviews the flagged entries and refers them to the Governance Authority where needed.</w:t>
      </w:r>
    </w:p>
    <w:p w14:paraId="07610A3A" w14:textId="77777777"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result is that both proposals are handled through the same process, regardless of how reasonable or well-intentioned they appear. The framework does not assume that good intentions are enough. It requires formal approval.</w:t>
      </w:r>
    </w:p>
    <w:p w14:paraId="30D20E44" w14:textId="77777777" w:rsidR="00771D08" w:rsidRPr="0050011A" w:rsidRDefault="00771D08" w:rsidP="00771D08">
      <w:pPr>
        <w:pStyle w:val="Heading3"/>
        <w:rPr>
          <w:rFonts w:cs="Arial"/>
          <w:lang w:eastAsia="nl-NL"/>
        </w:rPr>
      </w:pPr>
      <w:bookmarkStart w:id="148" w:name="_Toc728733135"/>
      <w:r w:rsidRPr="54AD4DA9">
        <w:rPr>
          <w:rFonts w:cs="Arial"/>
          <w:lang w:eastAsia="nl-NL"/>
        </w:rPr>
        <w:t>7.2.5 What this case shows about the framework</w:t>
      </w:r>
      <w:bookmarkEnd w:id="148"/>
    </w:p>
    <w:p w14:paraId="057A0D37" w14:textId="0EBE765C"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 xml:space="preserve">This case shows that the framework is designed to address the most common and least visible way in which governance fails in data-driven projects. Mission creep is not visible in advance. It develops through decisions that each </w:t>
      </w:r>
      <w:r w:rsidR="00774B4A">
        <w:rPr>
          <w:rFonts w:eastAsia="Times New Roman" w:cs="Arial"/>
          <w:kern w:val="0"/>
          <w:lang w:eastAsia="nl-NL"/>
          <w14:ligatures w14:val="none"/>
        </w:rPr>
        <w:t>seems</w:t>
      </w:r>
      <w:r w:rsidRPr="0050011A">
        <w:rPr>
          <w:rFonts w:eastAsia="Times New Roman" w:cs="Arial"/>
          <w:kern w:val="0"/>
          <w:lang w:eastAsia="nl-NL"/>
          <w14:ligatures w14:val="none"/>
        </w:rPr>
        <w:t xml:space="preserve"> reasonable on their own. The value of the framework is that it requires every expansion of data usage to go through the same approval process as the original use case, no matter how small the step appears.</w:t>
      </w:r>
    </w:p>
    <w:p w14:paraId="3659A789" w14:textId="476B2E04" w:rsidR="00771D08" w:rsidRPr="0050011A" w:rsidRDefault="00771D08" w:rsidP="00771D08">
      <w:pPr>
        <w:spacing w:before="100" w:beforeAutospacing="1" w:after="100" w:afterAutospacing="1" w:line="240" w:lineRule="auto"/>
        <w:rPr>
          <w:rFonts w:eastAsia="Times New Roman" w:cs="Arial"/>
          <w:kern w:val="0"/>
          <w:lang w:eastAsia="nl-NL"/>
          <w14:ligatures w14:val="none"/>
        </w:rPr>
      </w:pPr>
      <w:r w:rsidRPr="0050011A">
        <w:rPr>
          <w:rFonts w:eastAsia="Times New Roman" w:cs="Arial"/>
          <w:kern w:val="0"/>
          <w:lang w:eastAsia="nl-NL"/>
          <w14:ligatures w14:val="none"/>
        </w:rPr>
        <w:t>The combination of agreed boundaries on paper, mandatory ethics assessment, technical monitoring and regular review means that no single part carries the full responsibility for preventing mission creep. Each layer catches what the others might miss. Together</w:t>
      </w:r>
      <w:r w:rsidR="00C809F7">
        <w:rPr>
          <w:rFonts w:eastAsia="Times New Roman" w:cs="Arial"/>
          <w:kern w:val="0"/>
          <w:lang w:eastAsia="nl-NL"/>
          <w14:ligatures w14:val="none"/>
        </w:rPr>
        <w:t>,</w:t>
      </w:r>
      <w:r w:rsidRPr="0050011A">
        <w:rPr>
          <w:rFonts w:eastAsia="Times New Roman" w:cs="Arial"/>
          <w:kern w:val="0"/>
          <w:lang w:eastAsia="nl-NL"/>
          <w14:ligatures w14:val="none"/>
        </w:rPr>
        <w:t xml:space="preserve"> they ensure that the Inzicht Verlicht dataspace keeps working within the agreed purpose and that every expansion of that purpose is a deliberate and documented decision rather than a gradual drift.</w:t>
      </w:r>
    </w:p>
    <w:p w14:paraId="77805E30" w14:textId="77777777" w:rsidR="00771D08" w:rsidRPr="0050011A" w:rsidRDefault="00771D08" w:rsidP="00771D08">
      <w:pPr>
        <w:rPr>
          <w:rFonts w:cs="Arial"/>
        </w:rPr>
      </w:pPr>
    </w:p>
    <w:p w14:paraId="3539A7C9" w14:textId="108F7972" w:rsidR="00771D08" w:rsidRPr="0050011A" w:rsidRDefault="00771D08">
      <w:pPr>
        <w:rPr>
          <w:rFonts w:eastAsiaTheme="majorEastAsia" w:cs="Arial"/>
          <w:b/>
          <w:sz w:val="40"/>
          <w:szCs w:val="40"/>
        </w:rPr>
      </w:pPr>
      <w:r w:rsidRPr="0050011A">
        <w:rPr>
          <w:rFonts w:cs="Arial"/>
        </w:rPr>
        <w:br w:type="page"/>
      </w:r>
    </w:p>
    <w:p w14:paraId="1BC94F8F" w14:textId="70317A9C" w:rsidR="005D4B85" w:rsidRPr="0050011A" w:rsidRDefault="00E612DD" w:rsidP="005D4B85">
      <w:pPr>
        <w:pStyle w:val="Heading1"/>
        <w:rPr>
          <w:rFonts w:cs="Arial"/>
        </w:rPr>
      </w:pPr>
      <w:bookmarkStart w:id="149" w:name="_Toc230347203"/>
      <w:bookmarkStart w:id="150" w:name="_Toc1424638485"/>
      <w:r w:rsidRPr="54AD4DA9">
        <w:rPr>
          <w:rFonts w:cs="Arial"/>
        </w:rPr>
        <w:lastRenderedPageBreak/>
        <w:t>8. Strategic Roadmap</w:t>
      </w:r>
      <w:bookmarkEnd w:id="149"/>
      <w:bookmarkEnd w:id="150"/>
      <w:r w:rsidRPr="54AD4DA9">
        <w:rPr>
          <w:rFonts w:cs="Arial"/>
        </w:rPr>
        <w:t xml:space="preserve"> </w:t>
      </w:r>
    </w:p>
    <w:p w14:paraId="12D5C224" w14:textId="28F7CAB7" w:rsidR="009C59D9" w:rsidRPr="0050011A" w:rsidRDefault="009C59D9" w:rsidP="009C59D9">
      <w:pPr>
        <w:pStyle w:val="Heading2"/>
        <w:rPr>
          <w:rFonts w:cs="Arial"/>
        </w:rPr>
      </w:pPr>
      <w:bookmarkStart w:id="151" w:name="_Toc230347204"/>
      <w:bookmarkStart w:id="152" w:name="_Toc467658325"/>
      <w:r w:rsidRPr="54AD4DA9">
        <w:rPr>
          <w:rFonts w:cs="Arial"/>
        </w:rPr>
        <w:t>8.1 Phase 1: Immediate Actions (0 to 3 months)</w:t>
      </w:r>
      <w:bookmarkEnd w:id="151"/>
      <w:bookmarkEnd w:id="152"/>
    </w:p>
    <w:p w14:paraId="1B942062" w14:textId="54E0DB7C" w:rsidR="00AA60AA" w:rsidRPr="0050011A" w:rsidRDefault="00AA60AA" w:rsidP="00AA60AA">
      <w:pPr>
        <w:rPr>
          <w:rFonts w:cs="Arial"/>
        </w:rPr>
      </w:pPr>
      <w:r w:rsidRPr="0050011A">
        <w:rPr>
          <w:rFonts w:cs="Arial"/>
        </w:rPr>
        <w:t>Before the governance framework can operate as intended, a set of foundational actions must be completed. These are not preparatory formalities, they are the conditions under which the framework can function at all. Roles without a constituted authority to back them, procedures without signed agreements to make them binding, and accountability mechanisms without designated people to carry them out remain intentions rather than governance.</w:t>
      </w:r>
    </w:p>
    <w:p w14:paraId="1CAB0374" w14:textId="68FC00F9" w:rsidR="00AA60AA" w:rsidRPr="0050011A" w:rsidRDefault="00AA60AA" w:rsidP="00AA60AA">
      <w:pPr>
        <w:rPr>
          <w:rFonts w:cs="Arial"/>
        </w:rPr>
      </w:pPr>
      <w:r w:rsidRPr="0050011A">
        <w:rPr>
          <w:rFonts w:cs="Arial"/>
        </w:rPr>
        <w:t>The actions below follow a logical sequence, but two of them carry an urgency that sets them apart from the rest. The first re-identification assessment and the initial ethics review of existing use cases are not actions that can wait until the governance structure is fully established. They address exposure that already exists</w:t>
      </w:r>
      <w:r w:rsidR="00A1633E" w:rsidRPr="0050011A">
        <w:rPr>
          <w:rFonts w:cs="Arial"/>
        </w:rPr>
        <w:t xml:space="preserve">, </w:t>
      </w:r>
      <w:r w:rsidRPr="0050011A">
        <w:rPr>
          <w:rFonts w:cs="Arial"/>
        </w:rPr>
        <w:t>data currently in use, risks already present</w:t>
      </w:r>
      <w:r w:rsidR="00A1633E" w:rsidRPr="0050011A">
        <w:rPr>
          <w:rFonts w:cs="Arial"/>
        </w:rPr>
        <w:t>,</w:t>
      </w:r>
      <w:r w:rsidRPr="0050011A">
        <w:rPr>
          <w:rFonts w:cs="Arial"/>
        </w:rPr>
        <w:t xml:space="preserve"> rather than future scenarios the framework is designed to prevent. Every other action in this phase builds toward the framework becoming operational. These two actions address what is already happening in the absence of it.</w:t>
      </w:r>
    </w:p>
    <w:p w14:paraId="06DA58DA" w14:textId="1F04ED94" w:rsidR="009A1195" w:rsidRPr="0050011A" w:rsidRDefault="00222586" w:rsidP="00A1633E">
      <w:pPr>
        <w:pStyle w:val="Heading3"/>
        <w:rPr>
          <w:rFonts w:cs="Arial"/>
        </w:rPr>
      </w:pPr>
      <w:bookmarkStart w:id="153" w:name="_Toc1820730522"/>
      <w:r w:rsidRPr="54AD4DA9">
        <w:rPr>
          <w:rFonts w:cs="Arial"/>
        </w:rPr>
        <w:t>8.1.</w:t>
      </w:r>
      <w:r w:rsidR="00C26B82" w:rsidRPr="54AD4DA9">
        <w:rPr>
          <w:rFonts w:cs="Arial"/>
        </w:rPr>
        <w:t>1 Designating the Governance Authority</w:t>
      </w:r>
      <w:bookmarkEnd w:id="153"/>
    </w:p>
    <w:p w14:paraId="121BBA4C" w14:textId="3A17A711" w:rsidR="00644710" w:rsidRPr="0050011A" w:rsidRDefault="00644710" w:rsidP="00644710">
      <w:pPr>
        <w:rPr>
          <w:rFonts w:cs="Arial"/>
        </w:rPr>
      </w:pPr>
      <w:r w:rsidRPr="0050011A">
        <w:rPr>
          <w:rFonts w:cs="Arial"/>
        </w:rPr>
        <w:t xml:space="preserve">The first action is to formally constitute the Governance Authority. This means identifying which </w:t>
      </w:r>
      <w:r w:rsidR="00C809F7">
        <w:rPr>
          <w:rFonts w:cs="Arial"/>
        </w:rPr>
        <w:t>organisations</w:t>
      </w:r>
      <w:r w:rsidRPr="0050011A">
        <w:rPr>
          <w:rFonts w:cs="Arial"/>
        </w:rPr>
        <w:t xml:space="preserve"> or individuals will hold oversight responsibility for the dataspace, ensuring that the composition of the authority prevents domination by any single participant, and establishing the decision-making procedures it will follow.</w:t>
      </w:r>
    </w:p>
    <w:p w14:paraId="4CC6B479" w14:textId="1CD5CAC0" w:rsidR="00644710" w:rsidRPr="0050011A" w:rsidRDefault="00644710" w:rsidP="00644710">
      <w:pPr>
        <w:rPr>
          <w:rFonts w:cs="Arial"/>
        </w:rPr>
      </w:pPr>
      <w:r w:rsidRPr="0050011A">
        <w:rPr>
          <w:rFonts w:cs="Arial"/>
        </w:rPr>
        <w:t xml:space="preserve">Nothing else in this phase can be completed with legitimacy until this step is done. Every subsequent action, appointing the Coordinating Entity, approving founding agreements, overseeing the ethics review, requires a body with </w:t>
      </w:r>
      <w:r w:rsidR="00C809F7">
        <w:rPr>
          <w:rFonts w:cs="Arial"/>
        </w:rPr>
        <w:t>recognised</w:t>
      </w:r>
      <w:r w:rsidRPr="0050011A">
        <w:rPr>
          <w:rFonts w:cs="Arial"/>
        </w:rPr>
        <w:t xml:space="preserve"> authority to sanction it. An informal arrangement or a placeholder does not meet this requirement.</w:t>
      </w:r>
    </w:p>
    <w:p w14:paraId="7E066F01" w14:textId="77777777" w:rsidR="00644710" w:rsidRPr="0050011A" w:rsidRDefault="00644710" w:rsidP="00644710">
      <w:pPr>
        <w:rPr>
          <w:rFonts w:cs="Arial"/>
        </w:rPr>
      </w:pPr>
      <w:r w:rsidRPr="0050011A">
        <w:rPr>
          <w:rFonts w:cs="Arial"/>
        </w:rPr>
        <w:t>The outcome of this step is a written founding document recording the composition of the Governance Authority, the terms under which members serve, the procedures for reaching decisions, and the mechanisms through which the authority itself remains accountable to participants</w:t>
      </w:r>
    </w:p>
    <w:p w14:paraId="76ED57F3" w14:textId="5427AF49" w:rsidR="00C26B82" w:rsidRPr="0050011A" w:rsidRDefault="00D300A3" w:rsidP="00D300A3">
      <w:pPr>
        <w:pStyle w:val="Heading3"/>
        <w:rPr>
          <w:rFonts w:cs="Arial"/>
        </w:rPr>
      </w:pPr>
      <w:bookmarkStart w:id="154" w:name="_Toc1358212359"/>
      <w:r w:rsidRPr="54AD4DA9">
        <w:rPr>
          <w:rFonts w:cs="Arial"/>
        </w:rPr>
        <w:t>8.1.2 Appointing the Coordin</w:t>
      </w:r>
      <w:r w:rsidR="00687712" w:rsidRPr="54AD4DA9">
        <w:rPr>
          <w:rFonts w:cs="Arial"/>
        </w:rPr>
        <w:t>ating Entity</w:t>
      </w:r>
      <w:bookmarkEnd w:id="154"/>
    </w:p>
    <w:p w14:paraId="7CA2EFEB" w14:textId="77777777" w:rsidR="00510C89" w:rsidRPr="0050011A" w:rsidRDefault="00510C89" w:rsidP="00510C89">
      <w:pPr>
        <w:rPr>
          <w:rFonts w:cs="Arial"/>
        </w:rPr>
      </w:pPr>
      <w:r w:rsidRPr="0050011A">
        <w:rPr>
          <w:rFonts w:cs="Arial"/>
        </w:rPr>
        <w:t>Once the Governance Authority is constituted, it must formally appoint the Coordinating Entity. This appointment must be documented and must define the scope of the Coordinating Entity's operational mandate, the boundaries of its authority relative to the Governance Authority, and the conditions under which the appointment can be reviewed or withdrawn.</w:t>
      </w:r>
    </w:p>
    <w:p w14:paraId="11DB05A2" w14:textId="77777777" w:rsidR="00510C89" w:rsidRPr="0050011A" w:rsidRDefault="00510C89" w:rsidP="00510C89">
      <w:pPr>
        <w:rPr>
          <w:rFonts w:cs="Arial"/>
        </w:rPr>
      </w:pPr>
      <w:r w:rsidRPr="0050011A">
        <w:rPr>
          <w:rFonts w:cs="Arial"/>
        </w:rPr>
        <w:t>The Coordinating Entity cannot self-appoint or operate informally. Its legitimacy within the governance structure depends on a formal appointment made by the body that holds oversight authority. Until this appointment is in place, onboarding, access approvals, and the operational procedures defined in this framework cannot begin.</w:t>
      </w:r>
    </w:p>
    <w:p w14:paraId="6D948762" w14:textId="0C9E1D29" w:rsidR="00687712" w:rsidRPr="0050011A" w:rsidRDefault="0091244A" w:rsidP="0091244A">
      <w:pPr>
        <w:pStyle w:val="Heading3"/>
        <w:rPr>
          <w:rFonts w:cs="Arial"/>
        </w:rPr>
      </w:pPr>
      <w:bookmarkStart w:id="155" w:name="_Toc1235252617"/>
      <w:r w:rsidRPr="54AD4DA9">
        <w:rPr>
          <w:rFonts w:cs="Arial"/>
        </w:rPr>
        <w:t xml:space="preserve">8.1.3 Assigning Reference Persons across </w:t>
      </w:r>
      <w:r w:rsidR="008F476F" w:rsidRPr="54AD4DA9">
        <w:rPr>
          <w:rFonts w:cs="Arial"/>
        </w:rPr>
        <w:t>Participating Organizations</w:t>
      </w:r>
      <w:bookmarkEnd w:id="155"/>
    </w:p>
    <w:p w14:paraId="2708DB06" w14:textId="2404AA79" w:rsidR="00D61025" w:rsidRPr="0050011A" w:rsidRDefault="00D61025" w:rsidP="00D61025">
      <w:pPr>
        <w:rPr>
          <w:rFonts w:cs="Arial"/>
        </w:rPr>
      </w:pPr>
      <w:r w:rsidRPr="0050011A">
        <w:rPr>
          <w:rFonts w:cs="Arial"/>
        </w:rPr>
        <w:t xml:space="preserve">Each participating </w:t>
      </w:r>
      <w:r w:rsidR="00C809F7">
        <w:rPr>
          <w:rFonts w:cs="Arial"/>
        </w:rPr>
        <w:t>organisation</w:t>
      </w:r>
      <w:r w:rsidRPr="0050011A">
        <w:rPr>
          <w:rFonts w:cs="Arial"/>
        </w:rPr>
        <w:t xml:space="preserve"> must designate a Reference Person before the framework enters operation. The Coordinating Entity is responsible for collecting these designations, verifying that each Reference Person holds sufficient </w:t>
      </w:r>
      <w:r w:rsidR="00C809F7">
        <w:rPr>
          <w:rFonts w:cs="Arial"/>
        </w:rPr>
        <w:t>organisational</w:t>
      </w:r>
      <w:r w:rsidRPr="0050011A">
        <w:rPr>
          <w:rFonts w:cs="Arial"/>
        </w:rPr>
        <w:t xml:space="preserve"> authority to act on compliance matters, and maintaining a current registry across all participating </w:t>
      </w:r>
      <w:r w:rsidR="00C809F7">
        <w:rPr>
          <w:rFonts w:cs="Arial"/>
        </w:rPr>
        <w:t>organisations</w:t>
      </w:r>
      <w:r w:rsidRPr="0050011A">
        <w:rPr>
          <w:rFonts w:cs="Arial"/>
        </w:rPr>
        <w:t>.</w:t>
      </w:r>
    </w:p>
    <w:p w14:paraId="19C74F9F" w14:textId="37B040D5" w:rsidR="00D61025" w:rsidRPr="0050011A" w:rsidRDefault="00D61025" w:rsidP="00D61025">
      <w:pPr>
        <w:rPr>
          <w:rFonts w:cs="Arial"/>
        </w:rPr>
      </w:pPr>
      <w:r w:rsidRPr="0050011A">
        <w:rPr>
          <w:rFonts w:cs="Arial"/>
        </w:rPr>
        <w:t xml:space="preserve">This step deserves more care than it typically receives in governance rollouts. Reference Persons are not administrative contacts, they are the designated ethical accountability points within their </w:t>
      </w:r>
      <w:r w:rsidRPr="0050011A">
        <w:rPr>
          <w:rFonts w:cs="Arial"/>
        </w:rPr>
        <w:lastRenderedPageBreak/>
        <w:t>organizations. Assigning this role to someone without genuine authority or awareness of what it requires produces a registry that looks complete but provides no real accountability. The Coordinating Entity must follow up where designations appear insufficient before confirming them.</w:t>
      </w:r>
    </w:p>
    <w:p w14:paraId="4C4F5E88" w14:textId="3CBF7668" w:rsidR="008F476F" w:rsidRPr="0050011A" w:rsidRDefault="009F1B72" w:rsidP="009F1B72">
      <w:pPr>
        <w:pStyle w:val="Heading3"/>
        <w:rPr>
          <w:rFonts w:cs="Arial"/>
        </w:rPr>
      </w:pPr>
      <w:bookmarkStart w:id="156" w:name="_Toc190654306"/>
      <w:r w:rsidRPr="54AD4DA9">
        <w:rPr>
          <w:rFonts w:cs="Arial"/>
        </w:rPr>
        <w:t>8.1.4 Draft</w:t>
      </w:r>
      <w:r w:rsidR="00391492" w:rsidRPr="54AD4DA9">
        <w:rPr>
          <w:rFonts w:cs="Arial"/>
        </w:rPr>
        <w:t>ing and Signing Founding Agreements</w:t>
      </w:r>
      <w:bookmarkEnd w:id="156"/>
    </w:p>
    <w:p w14:paraId="6A555F28" w14:textId="77777777" w:rsidR="0023524C" w:rsidRPr="0050011A" w:rsidRDefault="0023524C" w:rsidP="0023524C">
      <w:pPr>
        <w:rPr>
          <w:rFonts w:cs="Arial"/>
        </w:rPr>
      </w:pPr>
      <w:r w:rsidRPr="0050011A">
        <w:rPr>
          <w:rFonts w:cs="Arial"/>
        </w:rPr>
        <w:t>Before any data exchange takes place under the framework, the foundational agreements governing participation must be drafted, reviewed, and signed by all relevant parties. These include institutional agreements defining the terms of participation, data-sharing agreements governing specific exchange relationships, and service agreements with any intermediaries.</w:t>
      </w:r>
    </w:p>
    <w:p w14:paraId="683066C2" w14:textId="2448479E" w:rsidR="0023524C" w:rsidRPr="0050011A" w:rsidRDefault="0023524C" w:rsidP="0023524C">
      <w:pPr>
        <w:rPr>
          <w:rFonts w:cs="Arial"/>
        </w:rPr>
      </w:pPr>
      <w:r w:rsidRPr="0050011A">
        <w:rPr>
          <w:rFonts w:cs="Arial"/>
        </w:rPr>
        <w:t>These documents are not standard contracts to be processed quickly. They are the instruments through which the framework's principles become legally binding on the parties involved. Agreements that are vague on purpose, silent on societal value conditions, or that leave enforcement mechanisms undefined should not be signed until those gaps are resolved. A signed agreement that does not reflect the framework's requirements does not advance governance, it creates the appearance of it.</w:t>
      </w:r>
    </w:p>
    <w:p w14:paraId="41F78EDC" w14:textId="43185930" w:rsidR="00391492" w:rsidRPr="0050011A" w:rsidRDefault="0023524C" w:rsidP="0023524C">
      <w:pPr>
        <w:pStyle w:val="Heading3"/>
        <w:rPr>
          <w:rFonts w:cs="Arial"/>
        </w:rPr>
      </w:pPr>
      <w:bookmarkStart w:id="157" w:name="_Toc1380695817"/>
      <w:r w:rsidRPr="54AD4DA9">
        <w:rPr>
          <w:rFonts w:cs="Arial"/>
        </w:rPr>
        <w:t xml:space="preserve">8.1.5 </w:t>
      </w:r>
      <w:r w:rsidR="00F01A69" w:rsidRPr="54AD4DA9">
        <w:rPr>
          <w:rFonts w:cs="Arial"/>
        </w:rPr>
        <w:t>First Re-identification Assessment</w:t>
      </w:r>
      <w:bookmarkEnd w:id="157"/>
    </w:p>
    <w:p w14:paraId="6B4DCBB7" w14:textId="10C99CA1" w:rsidR="002431AC" w:rsidRPr="0050011A" w:rsidRDefault="002431AC" w:rsidP="002431AC">
      <w:pPr>
        <w:rPr>
          <w:rFonts w:cs="Arial"/>
        </w:rPr>
      </w:pPr>
      <w:r w:rsidRPr="0050011A">
        <w:rPr>
          <w:rFonts w:cs="Arial"/>
        </w:rPr>
        <w:t xml:space="preserve">A re-identification assessment must be carried out across all datasets currently in use within the dataspace before the framework enters full operation. This assessment examines whether data that has been </w:t>
      </w:r>
      <w:r w:rsidR="00C809F7">
        <w:rPr>
          <w:rFonts w:cs="Arial"/>
        </w:rPr>
        <w:t>anonymised</w:t>
      </w:r>
      <w:r w:rsidRPr="0050011A">
        <w:rPr>
          <w:rFonts w:cs="Arial"/>
        </w:rPr>
        <w:t xml:space="preserve"> or aggregated carries a realistic risk of enabling identification of individuals when combined with other available datasets, a risk that grows as the number of datasets in the dataspace increases.</w:t>
      </w:r>
    </w:p>
    <w:p w14:paraId="228D14FB" w14:textId="286B6F0E" w:rsidR="002431AC" w:rsidRPr="0050011A" w:rsidRDefault="002431AC" w:rsidP="002431AC">
      <w:pPr>
        <w:rPr>
          <w:rFonts w:cs="Arial"/>
        </w:rPr>
      </w:pPr>
      <w:r w:rsidRPr="0050011A">
        <w:rPr>
          <w:rFonts w:cs="Arial"/>
        </w:rPr>
        <w:t>This action is ethically urgent because it addresses existing exposure, not anticipated future risk. Data is already being shared. If re-identification risk is present in current datasets, it exists regardless of whether the governance framework is operational. Waiting until the framework is fully in place before examining this risk means accepting a period of unaddressed exposure that the framework itself would prohibit. The assessment must be completed, its findings documented, and any identified risks acted upon within this phase, not deferred to a later review cycle.</w:t>
      </w:r>
    </w:p>
    <w:p w14:paraId="78B20286" w14:textId="7784B7BB" w:rsidR="00F01A69" w:rsidRPr="0050011A" w:rsidRDefault="002431AC" w:rsidP="002431AC">
      <w:pPr>
        <w:pStyle w:val="Heading3"/>
        <w:rPr>
          <w:rFonts w:cs="Arial"/>
        </w:rPr>
      </w:pPr>
      <w:bookmarkStart w:id="158" w:name="_Toc1211290962"/>
      <w:r w:rsidRPr="54AD4DA9">
        <w:rPr>
          <w:rFonts w:cs="Arial"/>
        </w:rPr>
        <w:t>8.1.6 Initial Ethics Review of Existing Use Cases</w:t>
      </w:r>
      <w:bookmarkEnd w:id="158"/>
    </w:p>
    <w:p w14:paraId="2EA76F93" w14:textId="2ADE93EA" w:rsidR="0015629D" w:rsidRPr="0050011A" w:rsidRDefault="0015629D" w:rsidP="0015629D">
      <w:pPr>
        <w:rPr>
          <w:rFonts w:cs="Arial"/>
        </w:rPr>
      </w:pPr>
      <w:r w:rsidRPr="0050011A">
        <w:rPr>
          <w:rFonts w:cs="Arial"/>
        </w:rPr>
        <w:t xml:space="preserve">In parallel with the re-identification assessment, an ethics review must be conducted across all data use cases currently active within the dataspace. This review examines whether existing uses are compatible with the ethical framework established in this document — including whether they meet purpose limitation requirements, whether the societal value of each use case is clearly defined, and whether any current use raises concerns that would not have been approved under the access and approval process defined in Section </w:t>
      </w:r>
      <w:r w:rsidR="008618D9" w:rsidRPr="0050011A">
        <w:rPr>
          <w:rFonts w:cs="Arial"/>
        </w:rPr>
        <w:t>5.4.</w:t>
      </w:r>
      <w:r w:rsidR="00A26807" w:rsidRPr="0050011A">
        <w:rPr>
          <w:rFonts w:cs="Arial"/>
        </w:rPr>
        <w:t>3</w:t>
      </w:r>
      <w:r w:rsidRPr="0050011A">
        <w:rPr>
          <w:rFonts w:cs="Arial"/>
        </w:rPr>
        <w:t>.</w:t>
      </w:r>
    </w:p>
    <w:p w14:paraId="68701F56" w14:textId="77777777" w:rsidR="0015629D" w:rsidRPr="0050011A" w:rsidRDefault="0015629D" w:rsidP="0015629D">
      <w:pPr>
        <w:rPr>
          <w:rFonts w:cs="Arial"/>
        </w:rPr>
      </w:pPr>
      <w:r w:rsidRPr="0050011A">
        <w:rPr>
          <w:rFonts w:cs="Arial"/>
        </w:rPr>
        <w:t>Like the re-identification assessment, this action addresses the present, not the future. The ethical framework does not apply only to new use cases initiated after its adoption. It applies to everything currently operating within the dataspace. Use cases that cannot be reconciled with the framework's requirements must be flagged, reviewed, and either brought into compliance or discontinued within this phase.</w:t>
      </w:r>
    </w:p>
    <w:p w14:paraId="673DDAB9" w14:textId="40E33A83" w:rsidR="002431AC" w:rsidRPr="0050011A" w:rsidRDefault="0015629D" w:rsidP="002431AC">
      <w:pPr>
        <w:rPr>
          <w:rFonts w:cs="Arial"/>
        </w:rPr>
      </w:pPr>
      <w:r w:rsidRPr="0050011A">
        <w:rPr>
          <w:rFonts w:cs="Arial"/>
        </w:rPr>
        <w:t>Together, these two actions represent the framework's first act of accountability</w:t>
      </w:r>
      <w:r w:rsidR="001E609F" w:rsidRPr="0050011A">
        <w:rPr>
          <w:rFonts w:cs="Arial"/>
        </w:rPr>
        <w:t>,</w:t>
      </w:r>
      <w:r w:rsidRPr="0050011A">
        <w:rPr>
          <w:rFonts w:cs="Arial"/>
        </w:rPr>
        <w:t xml:space="preserve"> not toward future participants, but toward the communities whose data is already in use.</w:t>
      </w:r>
    </w:p>
    <w:p w14:paraId="3D74E7B7" w14:textId="12DB6136" w:rsidR="00A26807" w:rsidRPr="0050011A" w:rsidRDefault="001E609F" w:rsidP="002431AC">
      <w:pPr>
        <w:rPr>
          <w:rFonts w:cs="Arial"/>
        </w:rPr>
      </w:pPr>
      <w:r w:rsidRPr="0050011A">
        <w:rPr>
          <w:rFonts w:cs="Arial"/>
        </w:rPr>
        <w:t>By the end of Phase 1, the Governance Authority and Coordinating Entity must be formally constituted, all Reference Persons designated and registered, founding agreements signed, and both the re-identification assessment and ethics review completed with findings documented. These are the minimum conditions for the framework to enter operational use. Phase 2 builds on this foundation, but only once it is genuinely in place.</w:t>
      </w:r>
    </w:p>
    <w:p w14:paraId="5AA196FE" w14:textId="77777777" w:rsidR="00496232" w:rsidRPr="0050011A" w:rsidRDefault="00496232" w:rsidP="002431AC">
      <w:pPr>
        <w:rPr>
          <w:rFonts w:cs="Arial"/>
        </w:rPr>
      </w:pPr>
    </w:p>
    <w:p w14:paraId="69399A18" w14:textId="77777777" w:rsidR="00496232" w:rsidRPr="0050011A" w:rsidRDefault="00496232" w:rsidP="002431AC">
      <w:pPr>
        <w:rPr>
          <w:rFonts w:cs="Arial"/>
        </w:rPr>
      </w:pPr>
    </w:p>
    <w:p w14:paraId="6A855892" w14:textId="77777777" w:rsidR="00496232" w:rsidRPr="0050011A" w:rsidRDefault="00496232" w:rsidP="002431AC">
      <w:pPr>
        <w:rPr>
          <w:rFonts w:cs="Arial"/>
        </w:rPr>
      </w:pPr>
    </w:p>
    <w:p w14:paraId="76E86FA4" w14:textId="77777777" w:rsidR="00496232" w:rsidRPr="0050011A" w:rsidRDefault="00496232" w:rsidP="002431AC">
      <w:pPr>
        <w:rPr>
          <w:rFonts w:cs="Arial"/>
        </w:rPr>
      </w:pPr>
    </w:p>
    <w:p w14:paraId="408FA733" w14:textId="6B32B6C5" w:rsidR="00496232" w:rsidRPr="0050011A" w:rsidRDefault="00496232" w:rsidP="002431AC">
      <w:pPr>
        <w:rPr>
          <w:rFonts w:cs="Arial"/>
        </w:rPr>
      </w:pPr>
    </w:p>
    <w:p w14:paraId="78CCDDD3" w14:textId="79271D81" w:rsidR="009C59D9" w:rsidRPr="0050011A" w:rsidRDefault="009C59D9" w:rsidP="009C59D9">
      <w:pPr>
        <w:pStyle w:val="Heading2"/>
        <w:rPr>
          <w:rFonts w:cs="Arial"/>
        </w:rPr>
      </w:pPr>
      <w:bookmarkStart w:id="159" w:name="_Toc230347205"/>
      <w:bookmarkStart w:id="160" w:name="_Toc931021226"/>
      <w:r w:rsidRPr="54AD4DA9">
        <w:rPr>
          <w:rFonts w:cs="Arial"/>
        </w:rPr>
        <w:t>8.2 Phase 2: Framework Implementation (3 to 12 months)</w:t>
      </w:r>
      <w:bookmarkEnd w:id="159"/>
      <w:bookmarkEnd w:id="160"/>
    </w:p>
    <w:p w14:paraId="74AD70A8" w14:textId="647CB4C0" w:rsidR="00496232" w:rsidRPr="0050011A" w:rsidRDefault="00245EE3" w:rsidP="00496232">
      <w:pPr>
        <w:rPr>
          <w:rFonts w:cs="Arial"/>
        </w:rPr>
      </w:pPr>
      <w:r w:rsidRPr="0050011A">
        <w:rPr>
          <w:rFonts w:cs="Arial"/>
        </w:rPr>
        <w:t xml:space="preserve">The second phase </w:t>
      </w:r>
      <w:r w:rsidR="00EF29F9" w:rsidRPr="0050011A">
        <w:rPr>
          <w:rFonts w:cs="Arial"/>
        </w:rPr>
        <w:t xml:space="preserve">moves from </w:t>
      </w:r>
      <w:r w:rsidR="00F47210" w:rsidRPr="0050011A">
        <w:rPr>
          <w:rFonts w:cs="Arial"/>
        </w:rPr>
        <w:t xml:space="preserve">establishing </w:t>
      </w:r>
      <w:r w:rsidR="00A33820" w:rsidRPr="0050011A">
        <w:rPr>
          <w:rFonts w:cs="Arial"/>
        </w:rPr>
        <w:t>the foundational structures to achieving full operational coverage. By the end of this phase, the governance framework should function as an operational system rather than a set of documented intentions.</w:t>
      </w:r>
    </w:p>
    <w:p w14:paraId="606F9C96" w14:textId="62860057" w:rsidR="00D36226" w:rsidRPr="0050011A" w:rsidRDefault="00D36226" w:rsidP="002A049E">
      <w:pPr>
        <w:pStyle w:val="Heading3"/>
        <w:rPr>
          <w:rFonts w:cs="Arial"/>
        </w:rPr>
      </w:pPr>
      <w:bookmarkStart w:id="161" w:name="_Toc1664391028"/>
      <w:r w:rsidRPr="54AD4DA9">
        <w:rPr>
          <w:rFonts w:cs="Arial"/>
        </w:rPr>
        <w:t>8.2.1 Implementing API-Key Usage Tracking</w:t>
      </w:r>
      <w:bookmarkEnd w:id="161"/>
    </w:p>
    <w:p w14:paraId="58742911" w14:textId="3D1898D9" w:rsidR="002A049E" w:rsidRPr="0050011A" w:rsidRDefault="002A049E" w:rsidP="002A049E">
      <w:pPr>
        <w:rPr>
          <w:rFonts w:cs="Arial"/>
        </w:rPr>
      </w:pPr>
      <w:r w:rsidRPr="0050011A">
        <w:rPr>
          <w:rFonts w:cs="Arial"/>
        </w:rPr>
        <w:t xml:space="preserve">The first priority in this phase is to activate the audit mechanism. The necessary technical infrastructure is already in place through the APISIX gateway and the Keycloak identity management system. </w:t>
      </w:r>
      <w:r w:rsidR="00ED2B9E" w:rsidRPr="0050011A">
        <w:rPr>
          <w:rFonts w:cs="Arial"/>
        </w:rPr>
        <w:t xml:space="preserve">What </w:t>
      </w:r>
      <w:r w:rsidR="00C809F7">
        <w:rPr>
          <w:rFonts w:cs="Arial"/>
        </w:rPr>
        <w:t xml:space="preserve">is </w:t>
      </w:r>
      <w:r w:rsidR="00B21024" w:rsidRPr="0050011A">
        <w:rPr>
          <w:rFonts w:cs="Arial"/>
        </w:rPr>
        <w:t>now required is the activation of systematic logging, the definitions of log retention periods and the assignment of the Coordinating Entity</w:t>
      </w:r>
      <w:r w:rsidR="00C809F7">
        <w:rPr>
          <w:rFonts w:cs="Arial"/>
        </w:rPr>
        <w:t>,</w:t>
      </w:r>
      <w:r w:rsidR="00B21024" w:rsidRPr="0050011A">
        <w:rPr>
          <w:rFonts w:cs="Arial"/>
        </w:rPr>
        <w:t xml:space="preserve"> as </w:t>
      </w:r>
      <w:r w:rsidR="00721F6E" w:rsidRPr="0050011A">
        <w:rPr>
          <w:rFonts w:cs="Arial"/>
        </w:rPr>
        <w:t xml:space="preserve">this person is responsible for quarterly log reviews (which is outlined in section 5.6.1). </w:t>
      </w:r>
    </w:p>
    <w:p w14:paraId="19DC9F7F" w14:textId="1ADF6817" w:rsidR="00D36226" w:rsidRPr="0050011A" w:rsidRDefault="003C7374" w:rsidP="002A049E">
      <w:pPr>
        <w:pStyle w:val="Heading3"/>
        <w:rPr>
          <w:rFonts w:cs="Arial"/>
        </w:rPr>
      </w:pPr>
      <w:bookmarkStart w:id="162" w:name="_Toc1070120289"/>
      <w:r w:rsidRPr="54AD4DA9">
        <w:rPr>
          <w:rFonts w:cs="Arial"/>
        </w:rPr>
        <w:t>8.2.2 Completing Data Sharing Agreements</w:t>
      </w:r>
      <w:bookmarkEnd w:id="162"/>
    </w:p>
    <w:p w14:paraId="687690D8" w14:textId="756F3CB9" w:rsidR="005A4A21" w:rsidRPr="0050011A" w:rsidRDefault="009F2FAE" w:rsidP="005A4A21">
      <w:pPr>
        <w:rPr>
          <w:rFonts w:cs="Arial"/>
        </w:rPr>
      </w:pPr>
      <w:r w:rsidRPr="0050011A">
        <w:rPr>
          <w:rFonts w:cs="Arial"/>
        </w:rPr>
        <w:t xml:space="preserve">Data-sharing agreements must be </w:t>
      </w:r>
      <w:r w:rsidR="00C809F7">
        <w:rPr>
          <w:rFonts w:cs="Arial"/>
        </w:rPr>
        <w:t>finalised</w:t>
      </w:r>
      <w:r w:rsidRPr="0050011A">
        <w:rPr>
          <w:rFonts w:cs="Arial"/>
        </w:rPr>
        <w:t xml:space="preserve"> for all active use cases. This includes agreements between the municipality and its technical partners RHDHV, ViNotion and Sorama. </w:t>
      </w:r>
      <w:r w:rsidR="00BD506F" w:rsidRPr="0050011A">
        <w:rPr>
          <w:rFonts w:cs="Arial"/>
        </w:rPr>
        <w:t xml:space="preserve">These partners currently operate without signed data processing agreements. These are required under GDPR Article 28. </w:t>
      </w:r>
      <w:r w:rsidR="002B418B" w:rsidRPr="0050011A">
        <w:rPr>
          <w:rFonts w:cs="Arial"/>
        </w:rPr>
        <w:t xml:space="preserve">Each agreement must specify the purpose of the data </w:t>
      </w:r>
      <w:r w:rsidR="00FD44F8" w:rsidRPr="0050011A">
        <w:rPr>
          <w:rFonts w:cs="Arial"/>
        </w:rPr>
        <w:t xml:space="preserve">exchange, the </w:t>
      </w:r>
      <w:r w:rsidR="009C14D3" w:rsidRPr="0050011A">
        <w:rPr>
          <w:rFonts w:cs="Arial"/>
        </w:rPr>
        <w:t xml:space="preserve">permitted uses, retention periods and </w:t>
      </w:r>
      <w:r w:rsidR="00E96DF9" w:rsidRPr="0050011A">
        <w:rPr>
          <w:rFonts w:cs="Arial"/>
        </w:rPr>
        <w:t>the conditions for termi</w:t>
      </w:r>
      <w:r w:rsidR="0097310E" w:rsidRPr="0050011A">
        <w:rPr>
          <w:rFonts w:cs="Arial"/>
        </w:rPr>
        <w:t xml:space="preserve">nation. </w:t>
      </w:r>
      <w:r w:rsidR="00CD012D" w:rsidRPr="0050011A">
        <w:rPr>
          <w:rFonts w:cs="Arial"/>
        </w:rPr>
        <w:t xml:space="preserve">The templates that are developed in phase 1 provide the foundation for these agreements. </w:t>
      </w:r>
    </w:p>
    <w:p w14:paraId="78FD7BEC" w14:textId="07EDFC24" w:rsidR="003C7374" w:rsidRPr="0050011A" w:rsidRDefault="003C7374" w:rsidP="002A049E">
      <w:pPr>
        <w:pStyle w:val="Heading3"/>
        <w:rPr>
          <w:rFonts w:cs="Arial"/>
        </w:rPr>
      </w:pPr>
      <w:bookmarkStart w:id="163" w:name="_Toc1607559785"/>
      <w:r w:rsidRPr="54AD4DA9">
        <w:rPr>
          <w:rFonts w:cs="Arial"/>
        </w:rPr>
        <w:t>8.2.3 Operationalising Onboarding Procedures</w:t>
      </w:r>
      <w:bookmarkEnd w:id="163"/>
    </w:p>
    <w:p w14:paraId="304A260C" w14:textId="05DDB228" w:rsidR="005A4A21" w:rsidRPr="0050011A" w:rsidRDefault="005A4A21" w:rsidP="005A4A21">
      <w:pPr>
        <w:rPr>
          <w:rFonts w:cs="Arial"/>
        </w:rPr>
      </w:pPr>
      <w:r w:rsidRPr="0050011A">
        <w:rPr>
          <w:rFonts w:cs="Arial"/>
        </w:rPr>
        <w:t xml:space="preserve">The onboarding procedures defined in phase 1 are </w:t>
      </w:r>
      <w:r w:rsidR="00545EC4" w:rsidRPr="0050011A">
        <w:rPr>
          <w:rFonts w:cs="Arial"/>
        </w:rPr>
        <w:t xml:space="preserve">activated for all new participants joining the dataspace during this phase. This includes the governance validation step, the technical integration process and the completion of the ethics assessment that is described in section 5.7. The </w:t>
      </w:r>
      <w:r w:rsidR="006E0DDE" w:rsidRPr="0050011A">
        <w:rPr>
          <w:rFonts w:cs="Arial"/>
        </w:rPr>
        <w:t xml:space="preserve">Business Advice document from the previous project group serves as the </w:t>
      </w:r>
      <w:r w:rsidR="00775BED" w:rsidRPr="0050011A">
        <w:rPr>
          <w:rFonts w:cs="Arial"/>
        </w:rPr>
        <w:t xml:space="preserve">starting point for the user and dataset onboarding flows, which should be </w:t>
      </w:r>
      <w:r w:rsidR="005034DE" w:rsidRPr="0050011A">
        <w:rPr>
          <w:rFonts w:cs="Arial"/>
        </w:rPr>
        <w:t xml:space="preserve">adopted as official procedures by the Governance Authority. </w:t>
      </w:r>
    </w:p>
    <w:p w14:paraId="7F89777F" w14:textId="2611624A" w:rsidR="003C7374" w:rsidRPr="0050011A" w:rsidRDefault="003C7374" w:rsidP="002A049E">
      <w:pPr>
        <w:pStyle w:val="Heading3"/>
        <w:rPr>
          <w:rFonts w:cs="Arial"/>
        </w:rPr>
      </w:pPr>
      <w:bookmarkStart w:id="164" w:name="_Toc1526420266"/>
      <w:r w:rsidRPr="54AD4DA9">
        <w:rPr>
          <w:rFonts w:cs="Arial"/>
        </w:rPr>
        <w:t>8.2.4 First Compliance Audit</w:t>
      </w:r>
      <w:bookmarkEnd w:id="164"/>
    </w:p>
    <w:p w14:paraId="4E7376BE" w14:textId="61D24C2F" w:rsidR="005034DE" w:rsidRPr="0050011A" w:rsidRDefault="003F4E6E" w:rsidP="005034DE">
      <w:pPr>
        <w:rPr>
          <w:rFonts w:cs="Arial"/>
        </w:rPr>
      </w:pPr>
      <w:r w:rsidRPr="0050011A">
        <w:rPr>
          <w:rFonts w:cs="Arial"/>
        </w:rPr>
        <w:t xml:space="preserve">The first compliance audit is carried out towards the end of this phase </w:t>
      </w:r>
      <w:r w:rsidR="00895B09" w:rsidRPr="0050011A">
        <w:rPr>
          <w:rFonts w:cs="Arial"/>
        </w:rPr>
        <w:t xml:space="preserve">and covers all active participants and use cases. </w:t>
      </w:r>
      <w:r w:rsidR="00BA535B" w:rsidRPr="0050011A">
        <w:rPr>
          <w:rFonts w:cs="Arial"/>
        </w:rPr>
        <w:t xml:space="preserve">It </w:t>
      </w:r>
      <w:r w:rsidR="00CB3355" w:rsidRPr="0050011A">
        <w:rPr>
          <w:rFonts w:cs="Arial"/>
        </w:rPr>
        <w:t>checks whether participants are following t</w:t>
      </w:r>
      <w:r w:rsidR="007545CC" w:rsidRPr="0050011A">
        <w:rPr>
          <w:rFonts w:cs="Arial"/>
        </w:rPr>
        <w:t>he</w:t>
      </w:r>
      <w:r w:rsidR="0060728C" w:rsidRPr="0050011A">
        <w:rPr>
          <w:rFonts w:cs="Arial"/>
        </w:rPr>
        <w:t xml:space="preserve"> obligations that are set out in the governance framework and the relevant data-sharing and membership agreements</w:t>
      </w:r>
      <w:r w:rsidR="004E0122" w:rsidRPr="0050011A">
        <w:rPr>
          <w:rFonts w:cs="Arial"/>
        </w:rPr>
        <w:t xml:space="preserve">. Besides checking compliance, the audit </w:t>
      </w:r>
      <w:r w:rsidR="00F02744" w:rsidRPr="0050011A">
        <w:rPr>
          <w:rFonts w:cs="Arial"/>
        </w:rPr>
        <w:t>also creates a starting point</w:t>
      </w:r>
      <w:r w:rsidR="000F714B" w:rsidRPr="0050011A">
        <w:rPr>
          <w:rFonts w:cs="Arial"/>
        </w:rPr>
        <w:t xml:space="preserve"> (baseline) for future audits to compare against. </w:t>
      </w:r>
      <w:r w:rsidR="00A87541" w:rsidRPr="0050011A">
        <w:rPr>
          <w:rFonts w:cs="Arial"/>
        </w:rPr>
        <w:t>This helps to see wh</w:t>
      </w:r>
      <w:r w:rsidR="001351DA" w:rsidRPr="0050011A">
        <w:rPr>
          <w:rFonts w:cs="Arial"/>
        </w:rPr>
        <w:t xml:space="preserve">ether things improve or get worse over time. The audit follows the process that is </w:t>
      </w:r>
      <w:r w:rsidR="007B28C5">
        <w:rPr>
          <w:rFonts w:cs="Arial"/>
        </w:rPr>
        <w:t>described</w:t>
      </w:r>
      <w:r w:rsidR="001351DA" w:rsidRPr="0050011A">
        <w:rPr>
          <w:rFonts w:cs="Arial"/>
        </w:rPr>
        <w:t xml:space="preserve"> in section 5.6.4.</w:t>
      </w:r>
    </w:p>
    <w:p w14:paraId="56AE960F" w14:textId="7FD8C3D8" w:rsidR="003C7374" w:rsidRPr="0050011A" w:rsidRDefault="003C7374" w:rsidP="002A049E">
      <w:pPr>
        <w:pStyle w:val="Heading3"/>
        <w:rPr>
          <w:rFonts w:cs="Arial"/>
        </w:rPr>
      </w:pPr>
      <w:bookmarkStart w:id="165" w:name="_Toc2052363910"/>
      <w:r w:rsidRPr="54AD4DA9">
        <w:rPr>
          <w:rFonts w:cs="Arial"/>
        </w:rPr>
        <w:t xml:space="preserve">8.2.5 </w:t>
      </w:r>
      <w:r w:rsidR="006703A5" w:rsidRPr="54AD4DA9">
        <w:rPr>
          <w:rFonts w:cs="Arial"/>
        </w:rPr>
        <w:t>First KPI Measurement Round</w:t>
      </w:r>
      <w:bookmarkEnd w:id="165"/>
    </w:p>
    <w:p w14:paraId="141CCB61" w14:textId="7A1DC074" w:rsidR="003C7374" w:rsidRPr="0050011A" w:rsidRDefault="00091B21" w:rsidP="00496232">
      <w:pPr>
        <w:rPr>
          <w:rFonts w:cs="Arial"/>
        </w:rPr>
      </w:pPr>
      <w:r w:rsidRPr="0050011A">
        <w:rPr>
          <w:rFonts w:cs="Arial"/>
        </w:rPr>
        <w:t xml:space="preserve">The first KPI measurements </w:t>
      </w:r>
      <w:r w:rsidR="002B6AB3" w:rsidRPr="0050011A">
        <w:rPr>
          <w:rFonts w:cs="Arial"/>
        </w:rPr>
        <w:t xml:space="preserve">round takes place, providing initial data across all six governance dimensions. </w:t>
      </w:r>
      <w:r w:rsidR="00057D14" w:rsidRPr="0050011A">
        <w:rPr>
          <w:rFonts w:cs="Arial"/>
        </w:rPr>
        <w:t xml:space="preserve">Since the framework has only been operational for a few months at this stage, the purpose of this first round is not to demonstrate the full compliance, but to establish a baseline. </w:t>
      </w:r>
      <w:r w:rsidR="00A9250D" w:rsidRPr="0050011A">
        <w:rPr>
          <w:rFonts w:cs="Arial"/>
        </w:rPr>
        <w:t xml:space="preserve">It also helps to identify which indicators are difficult to measure </w:t>
      </w:r>
      <w:r w:rsidR="009C2984" w:rsidRPr="0050011A">
        <w:rPr>
          <w:rFonts w:cs="Arial"/>
        </w:rPr>
        <w:t>in practice</w:t>
      </w:r>
      <w:r w:rsidR="00C809F7">
        <w:rPr>
          <w:rFonts w:cs="Arial"/>
        </w:rPr>
        <w:t>,</w:t>
      </w:r>
      <w:r w:rsidR="009C2984" w:rsidRPr="0050011A">
        <w:rPr>
          <w:rFonts w:cs="Arial"/>
        </w:rPr>
        <w:t xml:space="preserve"> </w:t>
      </w:r>
      <w:r w:rsidR="00431A8F" w:rsidRPr="0050011A">
        <w:rPr>
          <w:rFonts w:cs="Arial"/>
        </w:rPr>
        <w:t xml:space="preserve">so that the measurement approach can be </w:t>
      </w:r>
      <w:r w:rsidR="00171437" w:rsidRPr="0050011A">
        <w:rPr>
          <w:rFonts w:cs="Arial"/>
        </w:rPr>
        <w:t>refined and improve</w:t>
      </w:r>
      <w:r w:rsidR="00AD3E37" w:rsidRPr="0050011A">
        <w:rPr>
          <w:rFonts w:cs="Arial"/>
        </w:rPr>
        <w:t>d</w:t>
      </w:r>
      <w:r w:rsidR="00EE4367" w:rsidRPr="0050011A">
        <w:rPr>
          <w:rFonts w:cs="Arial"/>
        </w:rPr>
        <w:t xml:space="preserve"> before the annual review that is described in section 6.3</w:t>
      </w:r>
      <w:r w:rsidR="00171437" w:rsidRPr="0050011A">
        <w:rPr>
          <w:rFonts w:cs="Arial"/>
        </w:rPr>
        <w:t xml:space="preserve"> </w:t>
      </w:r>
    </w:p>
    <w:p w14:paraId="11D730F8" w14:textId="6808AD9A" w:rsidR="009C59D9" w:rsidRPr="0050011A" w:rsidRDefault="009C59D9" w:rsidP="009C59D9">
      <w:pPr>
        <w:pStyle w:val="Heading2"/>
        <w:rPr>
          <w:rFonts w:cs="Arial"/>
        </w:rPr>
      </w:pPr>
      <w:bookmarkStart w:id="166" w:name="_Toc230347206"/>
      <w:bookmarkStart w:id="167" w:name="_Toc2075260455"/>
      <w:r w:rsidRPr="54AD4DA9">
        <w:rPr>
          <w:rFonts w:cs="Arial"/>
        </w:rPr>
        <w:lastRenderedPageBreak/>
        <w:t>8.3 Phase 3: Maturation and Scaling (1 to 3 years)</w:t>
      </w:r>
      <w:bookmarkEnd w:id="166"/>
      <w:bookmarkEnd w:id="167"/>
    </w:p>
    <w:p w14:paraId="72DD42FE" w14:textId="77777777" w:rsidR="003D24C7" w:rsidRPr="0050011A" w:rsidRDefault="003D24C7" w:rsidP="003D24C7">
      <w:pPr>
        <w:rPr>
          <w:rFonts w:cs="Arial"/>
          <w:b/>
        </w:rPr>
      </w:pPr>
      <w:r w:rsidRPr="0050011A">
        <w:rPr>
          <w:rFonts w:cs="Arial"/>
          <w:b/>
        </w:rPr>
        <w:t>8.3 Phase 3: Maturation and Scaling (1 to 3 years)</w:t>
      </w:r>
    </w:p>
    <w:p w14:paraId="2D60089B" w14:textId="77777777" w:rsidR="003D24C7" w:rsidRPr="0050011A" w:rsidRDefault="003D24C7" w:rsidP="003D24C7">
      <w:pPr>
        <w:rPr>
          <w:rFonts w:cs="Arial"/>
        </w:rPr>
      </w:pPr>
      <w:r w:rsidRPr="0050011A">
        <w:rPr>
          <w:rFonts w:cs="Arial"/>
        </w:rPr>
        <w:t>Once the governance framework has been implemented and is operating effectively, the focus should shift towards long-term sustainability, continuous improvement, and responsible growth. The objective of this phase is not only to maintain compliance with legal and ethical requirements, but also to ensure that the dataspace remains adaptable to future developments and can be expanded to support additional smart city initiatives.</w:t>
      </w:r>
    </w:p>
    <w:p w14:paraId="5BEA0DBC" w14:textId="778FDB1C" w:rsidR="00C9116F" w:rsidRPr="0050011A" w:rsidRDefault="002F7690" w:rsidP="00C9116F">
      <w:pPr>
        <w:pStyle w:val="Heading3"/>
        <w:rPr>
          <w:rFonts w:cs="Arial"/>
        </w:rPr>
      </w:pPr>
      <w:bookmarkStart w:id="168" w:name="_Toc1197431626"/>
      <w:r w:rsidRPr="54AD4DA9">
        <w:rPr>
          <w:rFonts w:cs="Arial"/>
        </w:rPr>
        <w:t>8.</w:t>
      </w:r>
      <w:r w:rsidR="007E7CC5" w:rsidRPr="54AD4DA9">
        <w:rPr>
          <w:rFonts w:cs="Arial"/>
        </w:rPr>
        <w:t xml:space="preserve">3.1 </w:t>
      </w:r>
      <w:r w:rsidR="00C9116F" w:rsidRPr="54AD4DA9">
        <w:rPr>
          <w:rFonts w:cs="Arial"/>
        </w:rPr>
        <w:t>C</w:t>
      </w:r>
      <w:r w:rsidR="003D24C7" w:rsidRPr="54AD4DA9">
        <w:rPr>
          <w:rFonts w:cs="Arial"/>
        </w:rPr>
        <w:t xml:space="preserve">ontinuous </w:t>
      </w:r>
      <w:r w:rsidR="00C9116F" w:rsidRPr="54AD4DA9">
        <w:rPr>
          <w:rFonts w:cs="Arial"/>
        </w:rPr>
        <w:t>G</w:t>
      </w:r>
      <w:r w:rsidR="003D24C7" w:rsidRPr="54AD4DA9">
        <w:rPr>
          <w:rFonts w:cs="Arial"/>
        </w:rPr>
        <w:t xml:space="preserve">overnance </w:t>
      </w:r>
      <w:r w:rsidR="00C9116F" w:rsidRPr="54AD4DA9">
        <w:rPr>
          <w:rFonts w:cs="Arial"/>
        </w:rPr>
        <w:t>I</w:t>
      </w:r>
      <w:r w:rsidR="003D24C7" w:rsidRPr="54AD4DA9">
        <w:rPr>
          <w:rFonts w:cs="Arial"/>
        </w:rPr>
        <w:t>mprovement</w:t>
      </w:r>
      <w:bookmarkEnd w:id="168"/>
    </w:p>
    <w:p w14:paraId="5836DF60" w14:textId="020D8669" w:rsidR="003D24C7" w:rsidRPr="0050011A" w:rsidRDefault="003D24C7" w:rsidP="003D24C7">
      <w:pPr>
        <w:rPr>
          <w:rFonts w:cs="Arial"/>
        </w:rPr>
      </w:pPr>
      <w:r w:rsidRPr="0050011A">
        <w:rPr>
          <w:rFonts w:cs="Arial"/>
        </w:rPr>
        <w:t>The Governance Authority should conduct periodic reviews of governance procedures, KPIs, audit findings, and incident reports to evaluate the effectiveness of the framework. Lessons learned from operational use should be incorporated into updated policies and procedures where necessary.</w:t>
      </w:r>
    </w:p>
    <w:p w14:paraId="360257F4" w14:textId="03D1697A" w:rsidR="00C248A0" w:rsidRPr="0050011A" w:rsidRDefault="00467908" w:rsidP="00610992">
      <w:pPr>
        <w:pStyle w:val="Heading3"/>
        <w:rPr>
          <w:rFonts w:cs="Arial"/>
        </w:rPr>
      </w:pPr>
      <w:bookmarkStart w:id="169" w:name="_Toc1400283821"/>
      <w:r w:rsidRPr="54AD4DA9">
        <w:rPr>
          <w:rFonts w:cs="Arial"/>
        </w:rPr>
        <w:t xml:space="preserve">8.3.2 </w:t>
      </w:r>
      <w:r w:rsidR="00C248A0" w:rsidRPr="54AD4DA9">
        <w:rPr>
          <w:rFonts w:cs="Arial"/>
        </w:rPr>
        <w:t>Controlled E</w:t>
      </w:r>
      <w:r w:rsidR="003D24C7" w:rsidRPr="54AD4DA9">
        <w:rPr>
          <w:rFonts w:cs="Arial"/>
        </w:rPr>
        <w:t xml:space="preserve">xpansion of the </w:t>
      </w:r>
      <w:r w:rsidR="00610992" w:rsidRPr="54AD4DA9">
        <w:rPr>
          <w:rFonts w:cs="Arial"/>
        </w:rPr>
        <w:t>D</w:t>
      </w:r>
      <w:r w:rsidR="003D24C7" w:rsidRPr="54AD4DA9">
        <w:rPr>
          <w:rFonts w:cs="Arial"/>
        </w:rPr>
        <w:t>ataspace</w:t>
      </w:r>
      <w:bookmarkEnd w:id="169"/>
      <w:r w:rsidR="003D24C7" w:rsidRPr="54AD4DA9">
        <w:rPr>
          <w:rFonts w:cs="Arial"/>
        </w:rPr>
        <w:t xml:space="preserve"> </w:t>
      </w:r>
    </w:p>
    <w:p w14:paraId="4C244123" w14:textId="29658093" w:rsidR="003D24C7" w:rsidRPr="0050011A" w:rsidRDefault="003D24C7" w:rsidP="003D24C7">
      <w:pPr>
        <w:rPr>
          <w:rFonts w:cs="Arial"/>
        </w:rPr>
      </w:pPr>
      <w:r w:rsidRPr="0050011A">
        <w:rPr>
          <w:rFonts w:cs="Arial"/>
        </w:rPr>
        <w:t>As new datasets, stakeholders, and use cases are introduced, the existing governance framework should be applied consistently. New participants should follow the established onboarding procedures, and new use cases should undergo the same privacy, ethics, and governance assessments as existing activities.</w:t>
      </w:r>
    </w:p>
    <w:p w14:paraId="4B625B83" w14:textId="2D45EA38" w:rsidR="00610992" w:rsidRPr="0050011A" w:rsidRDefault="00467908" w:rsidP="002F7690">
      <w:pPr>
        <w:pStyle w:val="Heading3"/>
        <w:rPr>
          <w:rFonts w:cs="Arial"/>
        </w:rPr>
      </w:pPr>
      <w:bookmarkStart w:id="170" w:name="_Toc1180424928"/>
      <w:r w:rsidRPr="54AD4DA9">
        <w:rPr>
          <w:rFonts w:cs="Arial"/>
        </w:rPr>
        <w:t>8.3.</w:t>
      </w:r>
      <w:r w:rsidR="003A0F46" w:rsidRPr="54AD4DA9">
        <w:rPr>
          <w:rFonts w:cs="Arial"/>
        </w:rPr>
        <w:t xml:space="preserve">3 </w:t>
      </w:r>
      <w:r w:rsidR="00610992" w:rsidRPr="54AD4DA9">
        <w:rPr>
          <w:rFonts w:cs="Arial"/>
        </w:rPr>
        <w:t>Maintaining</w:t>
      </w:r>
      <w:r w:rsidR="003D24C7" w:rsidRPr="54AD4DA9">
        <w:rPr>
          <w:rFonts w:cs="Arial"/>
        </w:rPr>
        <w:t xml:space="preserve"> </w:t>
      </w:r>
      <w:r w:rsidR="002F7690" w:rsidRPr="54AD4DA9">
        <w:rPr>
          <w:rFonts w:cs="Arial"/>
        </w:rPr>
        <w:t>I</w:t>
      </w:r>
      <w:r w:rsidR="003D24C7" w:rsidRPr="54AD4DA9">
        <w:rPr>
          <w:rFonts w:cs="Arial"/>
        </w:rPr>
        <w:t xml:space="preserve">nteroperability and </w:t>
      </w:r>
      <w:r w:rsidR="002F7690" w:rsidRPr="54AD4DA9">
        <w:rPr>
          <w:rFonts w:cs="Arial"/>
        </w:rPr>
        <w:t>A</w:t>
      </w:r>
      <w:r w:rsidR="003D24C7" w:rsidRPr="54AD4DA9">
        <w:rPr>
          <w:rFonts w:cs="Arial"/>
        </w:rPr>
        <w:t xml:space="preserve">lignment with European </w:t>
      </w:r>
      <w:r w:rsidR="002F7690" w:rsidRPr="54AD4DA9">
        <w:rPr>
          <w:rFonts w:cs="Arial"/>
        </w:rPr>
        <w:t>D</w:t>
      </w:r>
      <w:r w:rsidR="003D24C7" w:rsidRPr="54AD4DA9">
        <w:rPr>
          <w:rFonts w:cs="Arial"/>
        </w:rPr>
        <w:t>evelopments</w:t>
      </w:r>
      <w:bookmarkEnd w:id="170"/>
    </w:p>
    <w:p w14:paraId="25E3BEB2" w14:textId="5CDDFDE6" w:rsidR="003D24C7" w:rsidRPr="0050011A" w:rsidRDefault="003D24C7" w:rsidP="003D24C7">
      <w:pPr>
        <w:rPr>
          <w:rFonts w:cs="Arial"/>
        </w:rPr>
      </w:pPr>
      <w:r w:rsidRPr="0050011A">
        <w:rPr>
          <w:rFonts w:cs="Arial"/>
        </w:rPr>
        <w:t>The dataspace should continue to follow the DS4SSCC Blueprint, FAIR principles, and relevant European regulations. This will support future collaboration with other smart city dataspaces and contribute to the broader European data ecosystem.</w:t>
      </w:r>
    </w:p>
    <w:p w14:paraId="3DDCAFAD" w14:textId="76585945" w:rsidR="002F7690" w:rsidRPr="0050011A" w:rsidRDefault="003A0F46" w:rsidP="002F7690">
      <w:pPr>
        <w:pStyle w:val="Heading3"/>
        <w:rPr>
          <w:rFonts w:cs="Arial"/>
        </w:rPr>
      </w:pPr>
      <w:bookmarkStart w:id="171" w:name="_Toc1735982405"/>
      <w:r w:rsidRPr="54AD4DA9">
        <w:rPr>
          <w:rFonts w:cs="Arial"/>
        </w:rPr>
        <w:t xml:space="preserve">8.3.4 </w:t>
      </w:r>
      <w:r w:rsidR="002F7690" w:rsidRPr="54AD4DA9">
        <w:rPr>
          <w:rFonts w:cs="Arial"/>
        </w:rPr>
        <w:t>O</w:t>
      </w:r>
      <w:r w:rsidR="003D24C7" w:rsidRPr="54AD4DA9">
        <w:rPr>
          <w:rFonts w:cs="Arial"/>
        </w:rPr>
        <w:t xml:space="preserve">rganisational </w:t>
      </w:r>
      <w:r w:rsidR="002F7690" w:rsidRPr="54AD4DA9">
        <w:rPr>
          <w:rFonts w:cs="Arial"/>
        </w:rPr>
        <w:t>M</w:t>
      </w:r>
      <w:r w:rsidR="003D24C7" w:rsidRPr="54AD4DA9">
        <w:rPr>
          <w:rFonts w:cs="Arial"/>
        </w:rPr>
        <w:t>aturity</w:t>
      </w:r>
      <w:bookmarkEnd w:id="171"/>
    </w:p>
    <w:p w14:paraId="2D178A7B" w14:textId="59160C24" w:rsidR="003D24C7" w:rsidRPr="0050011A" w:rsidRDefault="003D24C7" w:rsidP="003D24C7">
      <w:pPr>
        <w:rPr>
          <w:rFonts w:cs="Arial"/>
        </w:rPr>
      </w:pPr>
      <w:r w:rsidRPr="0050011A">
        <w:rPr>
          <w:rFonts w:cs="Arial"/>
        </w:rPr>
        <w:t>Participating organisations should invest in training, knowledge transfer, and governance awareness to ensure that expertise is retained despite personnel changes. Regular stakeholder workshops and governance reviews can support continuous learning and collaboration.</w:t>
      </w:r>
    </w:p>
    <w:p w14:paraId="24D6A17B" w14:textId="3A0E820D" w:rsidR="00EB5D1E" w:rsidRPr="0050011A" w:rsidRDefault="00334E02" w:rsidP="00464537">
      <w:pPr>
        <w:pStyle w:val="Heading3"/>
        <w:rPr>
          <w:rFonts w:cs="Arial"/>
        </w:rPr>
      </w:pPr>
      <w:bookmarkStart w:id="172" w:name="_Toc1958769231"/>
      <w:r w:rsidRPr="54AD4DA9">
        <w:rPr>
          <w:rFonts w:cs="Arial"/>
        </w:rPr>
        <w:t>8.</w:t>
      </w:r>
      <w:r w:rsidR="00464537" w:rsidRPr="54AD4DA9">
        <w:rPr>
          <w:rFonts w:cs="Arial"/>
        </w:rPr>
        <w:t xml:space="preserve">3.5 </w:t>
      </w:r>
      <w:r w:rsidRPr="54AD4DA9">
        <w:rPr>
          <w:rFonts w:cs="Arial"/>
        </w:rPr>
        <w:t>Maintaining Public Trust</w:t>
      </w:r>
      <w:bookmarkEnd w:id="172"/>
    </w:p>
    <w:p w14:paraId="7B286606" w14:textId="0C89FDB4" w:rsidR="003D24C7" w:rsidRPr="0050011A" w:rsidRDefault="003D24C7" w:rsidP="003D24C7">
      <w:pPr>
        <w:rPr>
          <w:rFonts w:cs="Arial"/>
        </w:rPr>
      </w:pPr>
      <w:r w:rsidRPr="0050011A">
        <w:rPr>
          <w:rFonts w:cs="Arial"/>
        </w:rPr>
        <w:t>Finally, maintaining public trust should remain a central objective. Transparency reports, periodic evaluations of societal impact, and clear communication regarding data usage can help ensure that the dataspace continues to operate in the public interest and maintains legitimacy among stakeholders and citizens.</w:t>
      </w:r>
    </w:p>
    <w:p w14:paraId="43D4B3E4" w14:textId="77777777" w:rsidR="003D24C7" w:rsidRPr="0050011A" w:rsidRDefault="003D24C7" w:rsidP="003D24C7">
      <w:pPr>
        <w:rPr>
          <w:rFonts w:cs="Arial"/>
        </w:rPr>
      </w:pPr>
    </w:p>
    <w:p w14:paraId="2F6DC835" w14:textId="139A91CA" w:rsidR="000A112D" w:rsidRPr="0050011A" w:rsidRDefault="000A112D">
      <w:pPr>
        <w:rPr>
          <w:rFonts w:eastAsiaTheme="majorEastAsia" w:cs="Arial"/>
          <w:b/>
          <w:sz w:val="32"/>
          <w:szCs w:val="32"/>
        </w:rPr>
      </w:pPr>
      <w:bookmarkStart w:id="173" w:name="_Toc230347207"/>
      <w:r w:rsidRPr="0050011A">
        <w:rPr>
          <w:rFonts w:cs="Arial"/>
        </w:rPr>
        <w:br w:type="page"/>
      </w:r>
    </w:p>
    <w:p w14:paraId="7B673A17" w14:textId="3CDE18E4" w:rsidR="00726F36" w:rsidRPr="0050011A" w:rsidRDefault="00726F36" w:rsidP="00BE63F4">
      <w:pPr>
        <w:pStyle w:val="Heading2"/>
        <w:rPr>
          <w:rFonts w:cs="Arial"/>
        </w:rPr>
      </w:pPr>
      <w:bookmarkStart w:id="174" w:name="_Toc941942901"/>
      <w:r w:rsidRPr="12887AA1">
        <w:rPr>
          <w:rFonts w:cs="Arial"/>
        </w:rPr>
        <w:lastRenderedPageBreak/>
        <w:t xml:space="preserve">8.4 </w:t>
      </w:r>
      <w:r w:rsidR="00BE63F4" w:rsidRPr="12887AA1">
        <w:rPr>
          <w:rFonts w:cs="Arial"/>
        </w:rPr>
        <w:t>Organisational Sustainability</w:t>
      </w:r>
      <w:bookmarkEnd w:id="173"/>
      <w:bookmarkEnd w:id="174"/>
    </w:p>
    <w:p w14:paraId="77E51FA7" w14:textId="09208CB9" w:rsidR="63BC726A" w:rsidRDefault="63BC726A" w:rsidP="12887AA1">
      <w:pPr>
        <w:rPr>
          <w:rFonts w:cs="Arial"/>
          <w:color w:val="FF0000"/>
        </w:rPr>
      </w:pPr>
      <w:r w:rsidRPr="12887AA1">
        <w:rPr>
          <w:rFonts w:eastAsia="Arial" w:cs="Arial"/>
          <w:szCs w:val="20"/>
        </w:rPr>
        <w:t>The preceding three phases of this roadmap describe a sequence of actions: establishing foundations, implementing procedures, and maturing governance over time. But a roadmap only has value if what it builds is designed to last. Section 8.4 addresses what must be in place for the governance framework to remain functional after the project team that created it has moved on.</w:t>
      </w:r>
    </w:p>
    <w:p w14:paraId="5D338175" w14:textId="11B2CF5E" w:rsidR="63BC726A" w:rsidRDefault="63BC726A">
      <w:r w:rsidRPr="12887AA1">
        <w:rPr>
          <w:rFonts w:eastAsia="Arial" w:cs="Arial"/>
          <w:szCs w:val="20"/>
        </w:rPr>
        <w:t>This is not a secondary concern.</w:t>
      </w:r>
      <w:r w:rsidR="00C16DA1" w:rsidRPr="12887AA1">
        <w:rPr>
          <w:rFonts w:eastAsia="Arial" w:cs="Arial"/>
          <w:szCs w:val="20"/>
        </w:rPr>
        <w:t xml:space="preserve"> A governance framework that </w:t>
      </w:r>
      <w:r w:rsidRPr="12887AA1">
        <w:rPr>
          <w:rFonts w:eastAsia="Arial" w:cs="Arial"/>
          <w:szCs w:val="20"/>
        </w:rPr>
        <w:t xml:space="preserve">operates well during its initial implementation but collapses when key personnel leave, funding cycles end, or institutional priorities shift has not fulfilled its purpose. </w:t>
      </w:r>
      <w:r w:rsidR="00C16DA1" w:rsidRPr="12887AA1">
        <w:rPr>
          <w:rFonts w:eastAsia="Arial" w:cs="Arial"/>
          <w:szCs w:val="20"/>
        </w:rPr>
        <w:t xml:space="preserve">The commitment to responsible data governance must outlast the project team. </w:t>
      </w:r>
      <w:r w:rsidRPr="12887AA1">
        <w:rPr>
          <w:rFonts w:eastAsia="Arial" w:cs="Arial"/>
          <w:szCs w:val="20"/>
        </w:rPr>
        <w:t>Sustainability is therefore not a technical feature - it is an ethical obligation that runs through every dimension of governance described in this document.</w:t>
      </w:r>
    </w:p>
    <w:p w14:paraId="28556CDE" w14:textId="15F56392" w:rsidR="63BC726A" w:rsidRDefault="007B28C5">
      <w:r>
        <w:rPr>
          <w:rFonts w:eastAsia="Arial" w:cs="Arial"/>
          <w:szCs w:val="20"/>
        </w:rPr>
        <w:t>Organisational</w:t>
      </w:r>
      <w:r w:rsidR="63BC726A" w:rsidRPr="12887AA1">
        <w:rPr>
          <w:rFonts w:eastAsia="Arial" w:cs="Arial"/>
          <w:szCs w:val="20"/>
        </w:rPr>
        <w:t xml:space="preserve"> sustainability is addressed across three dimensions: personnel and knowledge continuity, financial and operational continuity, and governance evolution.</w:t>
      </w:r>
    </w:p>
    <w:p w14:paraId="3CFF91A4" w14:textId="6C329411" w:rsidR="63BC726A" w:rsidRDefault="63BC726A" w:rsidP="005A2750">
      <w:pPr>
        <w:pStyle w:val="Heading3"/>
      </w:pPr>
      <w:r w:rsidRPr="12887AA1">
        <w:t>8.4.1 Personnel and Knowledge Continuity</w:t>
      </w:r>
    </w:p>
    <w:p w14:paraId="2BF0AC03" w14:textId="5950DD56" w:rsidR="63BC726A" w:rsidRDefault="63BC726A">
      <w:r w:rsidRPr="12887AA1">
        <w:rPr>
          <w:rFonts w:eastAsia="Arial" w:cs="Arial"/>
          <w:szCs w:val="20"/>
        </w:rPr>
        <w:t>The governance framework depends on designated individuals</w:t>
      </w:r>
      <w:r w:rsidR="007B28C5">
        <w:rPr>
          <w:rFonts w:eastAsia="Arial" w:cs="Arial"/>
          <w:szCs w:val="20"/>
        </w:rPr>
        <w:t>,</w:t>
      </w:r>
      <w:r w:rsidRPr="12887AA1">
        <w:rPr>
          <w:rFonts w:eastAsia="Arial" w:cs="Arial"/>
          <w:szCs w:val="20"/>
        </w:rPr>
        <w:t xml:space="preserve"> the Governance Authority members, the Coordinating Entity, and the Reference Persons across participating organisations who carry the institutional knowledge of why specific decisions were made and how procedures work in practice. When those individuals leave, that knowledge must not leave with them.</w:t>
      </w:r>
    </w:p>
    <w:p w14:paraId="58A62FEF" w14:textId="13C4B24F" w:rsidR="63BC726A" w:rsidRDefault="63BC726A">
      <w:r w:rsidRPr="12887AA1">
        <w:rPr>
          <w:rFonts w:eastAsia="Arial" w:cs="Arial"/>
          <w:szCs w:val="20"/>
        </w:rPr>
        <w:t xml:space="preserve">Each role holder must maintain a role handover protocol: a living document that describes the responsibilities of the role, the key contacts, the active agreements, the </w:t>
      </w:r>
      <w:r w:rsidR="00FB102C" w:rsidRPr="12887AA1">
        <w:rPr>
          <w:rFonts w:eastAsia="Arial" w:cs="Arial"/>
          <w:szCs w:val="20"/>
        </w:rPr>
        <w:t>status</w:t>
      </w:r>
      <w:r w:rsidRPr="12887AA1">
        <w:rPr>
          <w:rFonts w:eastAsia="Arial" w:cs="Arial"/>
          <w:szCs w:val="20"/>
        </w:rPr>
        <w:t xml:space="preserve"> of monitoring and audit processes, and any open issues or pending reviews. This protocol must be updated at least annually and made available to the incoming role holder before a formal handover takes place.</w:t>
      </w:r>
    </w:p>
    <w:p w14:paraId="0EEA0420" w14:textId="4FC06287" w:rsidR="63BC726A" w:rsidRDefault="63BC726A">
      <w:r w:rsidRPr="12887AA1">
        <w:rPr>
          <w:rFonts w:eastAsia="Arial" w:cs="Arial"/>
          <w:szCs w:val="20"/>
        </w:rPr>
        <w:t>In addition, the Governance Authority must maintain an accessible governance archive: a structured record of all founding agreements, data-sharing agreements, onboarding decisions, ethics assessments, audit reports, and KPI measurement results. This archive serves both as institutional memory and as evidence of compliance. New role holders should be able to reconstruct the reasoning behind existing governance decisions from this archive without relying on informal knowledge transfer.</w:t>
      </w:r>
    </w:p>
    <w:p w14:paraId="264551E9" w14:textId="5E6FD55F" w:rsidR="63BC726A" w:rsidRDefault="63BC726A">
      <w:r w:rsidRPr="12887AA1">
        <w:rPr>
          <w:rFonts w:eastAsia="Arial" w:cs="Arial"/>
          <w:szCs w:val="20"/>
        </w:rPr>
        <w:t>Training and governance awareness must also be treated as an ongoing investment rather than a one-time activity during onboarding. Participating organisations should ensure that any staff member who takes on a governance role receives orientation in the framework's requirements before assuming their responsibilities.</w:t>
      </w:r>
    </w:p>
    <w:p w14:paraId="01E52D30" w14:textId="50246B3C" w:rsidR="63BC726A" w:rsidRDefault="63BC726A" w:rsidP="005A2750">
      <w:pPr>
        <w:pStyle w:val="Heading3"/>
      </w:pPr>
      <w:r w:rsidRPr="12887AA1">
        <w:t>8.4.2 Financial and Operational Continuity</w:t>
      </w:r>
    </w:p>
    <w:p w14:paraId="28AC0B15" w14:textId="15C980C5" w:rsidR="63BC726A" w:rsidRDefault="63BC726A">
      <w:r w:rsidRPr="12887AA1">
        <w:rPr>
          <w:rFonts w:eastAsia="Arial" w:cs="Arial"/>
          <w:szCs w:val="20"/>
        </w:rPr>
        <w:t xml:space="preserve">Governance structures require resources to function: time for reviews, capacity for auditing, and access to legal and technical expertise when questions arise. These are not </w:t>
      </w:r>
      <w:r w:rsidR="007B28C5">
        <w:rPr>
          <w:rFonts w:eastAsia="Arial" w:cs="Arial"/>
          <w:szCs w:val="20"/>
        </w:rPr>
        <w:t>high</w:t>
      </w:r>
      <w:r w:rsidRPr="12887AA1">
        <w:rPr>
          <w:rFonts w:eastAsia="Arial" w:cs="Arial"/>
          <w:szCs w:val="20"/>
        </w:rPr>
        <w:t xml:space="preserve"> costs, but they must be anticipated and accounted for. A governance framework with no identified operational budget will gradually become non-functional as the workload falls on people who are not allocated time to carry it out.</w:t>
      </w:r>
    </w:p>
    <w:p w14:paraId="46DC7904" w14:textId="66F50DC9" w:rsidR="63BC726A" w:rsidRDefault="63BC726A">
      <w:r w:rsidRPr="12887AA1">
        <w:rPr>
          <w:rFonts w:eastAsia="Arial" w:cs="Arial"/>
          <w:szCs w:val="20"/>
        </w:rPr>
        <w:t>The Governance Authority is responsible for ensuring that a basic operational budget is identified and committed for each calendar year. This should cover, at a minimum, the quarterly compliance reviews carried out by the Coordinating Entity, the annual compliance audit, the annual KPI measurement round, and any legal or technical consultation required to address emerging issues. This budget need not be large, but it must exist as a named commitment rather than an assumption.</w:t>
      </w:r>
    </w:p>
    <w:p w14:paraId="3D424B6D" w14:textId="73A515F0" w:rsidR="63BC726A" w:rsidRDefault="63BC726A">
      <w:r w:rsidRPr="12887AA1">
        <w:rPr>
          <w:rFonts w:eastAsia="Arial" w:cs="Arial"/>
          <w:szCs w:val="20"/>
        </w:rPr>
        <w:t>Where the dataspace operates within a broader institutional context</w:t>
      </w:r>
      <w:r w:rsidR="007B28C5">
        <w:rPr>
          <w:rFonts w:eastAsia="Arial" w:cs="Arial"/>
          <w:szCs w:val="20"/>
        </w:rPr>
        <w:t>,</w:t>
      </w:r>
      <w:r w:rsidRPr="12887AA1">
        <w:rPr>
          <w:rFonts w:eastAsia="Arial" w:cs="Arial"/>
          <w:szCs w:val="20"/>
        </w:rPr>
        <w:t xml:space="preserve"> such as the Municipality of Eindhoven's smart city programme</w:t>
      </w:r>
      <w:r w:rsidR="007B28C5">
        <w:rPr>
          <w:rFonts w:eastAsia="Arial" w:cs="Arial"/>
          <w:szCs w:val="20"/>
        </w:rPr>
        <w:t>,</w:t>
      </w:r>
      <w:r w:rsidRPr="12887AA1">
        <w:rPr>
          <w:rFonts w:eastAsia="Arial" w:cs="Arial"/>
          <w:szCs w:val="20"/>
        </w:rPr>
        <w:t xml:space="preserve"> governance costs should be embedded into the operational </w:t>
      </w:r>
      <w:r w:rsidRPr="12887AA1">
        <w:rPr>
          <w:rFonts w:eastAsia="Arial" w:cs="Arial"/>
          <w:szCs w:val="20"/>
        </w:rPr>
        <w:lastRenderedPageBreak/>
        <w:t>budget of the parent institution rather than treated as a temporary project expense. This makes the governance framework structurally independent of any single project's funding cycle.</w:t>
      </w:r>
    </w:p>
    <w:p w14:paraId="2DFC13D9" w14:textId="45B4A7AC" w:rsidR="63BC726A" w:rsidRDefault="63BC726A" w:rsidP="00377C4F">
      <w:pPr>
        <w:pStyle w:val="Heading3"/>
      </w:pPr>
      <w:r w:rsidRPr="12887AA1">
        <w:t>8.4.3 Governance Evolution</w:t>
      </w:r>
    </w:p>
    <w:p w14:paraId="24E810FB" w14:textId="2F3BDE0A" w:rsidR="63BC726A" w:rsidRDefault="63BC726A">
      <w:r w:rsidRPr="12887AA1">
        <w:rPr>
          <w:rFonts w:eastAsia="Arial" w:cs="Arial"/>
          <w:szCs w:val="20"/>
        </w:rPr>
        <w:t xml:space="preserve">The framework described in this document reflects the current state of the Inzicht Verlicht dataspace, applicable </w:t>
      </w:r>
      <w:r w:rsidR="007B28C5">
        <w:rPr>
          <w:rFonts w:eastAsia="Arial" w:cs="Arial"/>
          <w:szCs w:val="20"/>
        </w:rPr>
        <w:t>regulations</w:t>
      </w:r>
      <w:r w:rsidRPr="12887AA1">
        <w:rPr>
          <w:rFonts w:eastAsia="Arial" w:cs="Arial"/>
          <w:szCs w:val="20"/>
        </w:rPr>
        <w:t>, and the DS4SSCC Blueprint. All three of these will change over time. New use cases will be introduced, European regulations will be updated, and the Blueprint itself will evolve as further pilots generate evidence and insights. The governance framework must have a defined mechanism for incorporating these changes without requiring the full document to be renegotiated from scratch.</w:t>
      </w:r>
    </w:p>
    <w:p w14:paraId="096A6C88" w14:textId="65E1C3DE" w:rsidR="63BC726A" w:rsidRDefault="63BC726A">
      <w:r w:rsidRPr="12887AA1">
        <w:rPr>
          <w:rFonts w:eastAsia="Arial" w:cs="Arial"/>
          <w:szCs w:val="20"/>
        </w:rPr>
        <w:t>The authority to approve updates to the governance framework rests with the Governance Authority. Minor procedural updates</w:t>
      </w:r>
      <w:r w:rsidR="007B28C5">
        <w:rPr>
          <w:rFonts w:eastAsia="Arial" w:cs="Arial"/>
          <w:szCs w:val="20"/>
        </w:rPr>
        <w:t>,</w:t>
      </w:r>
      <w:r w:rsidRPr="12887AA1">
        <w:rPr>
          <w:rFonts w:eastAsia="Arial" w:cs="Arial"/>
          <w:szCs w:val="20"/>
        </w:rPr>
        <w:t xml:space="preserve"> such as adjustments to log retention periods, changes to KPI thresholds, or clarifications to role descriptions</w:t>
      </w:r>
      <w:r w:rsidR="42607B89" w:rsidRPr="12887AA1">
        <w:rPr>
          <w:rFonts w:eastAsia="Arial" w:cs="Arial"/>
          <w:szCs w:val="20"/>
        </w:rPr>
        <w:t xml:space="preserve">, </w:t>
      </w:r>
      <w:r w:rsidRPr="12887AA1">
        <w:rPr>
          <w:rFonts w:eastAsia="Arial" w:cs="Arial"/>
          <w:szCs w:val="20"/>
        </w:rPr>
        <w:t>may be approved by the Governance Authority alone and communicated to all participants. Substantive changes</w:t>
      </w:r>
      <w:r w:rsidR="007B28C5">
        <w:rPr>
          <w:rFonts w:eastAsia="Arial" w:cs="Arial"/>
          <w:szCs w:val="20"/>
        </w:rPr>
        <w:t>,</w:t>
      </w:r>
      <w:r w:rsidRPr="12887AA1">
        <w:rPr>
          <w:rFonts w:eastAsia="Arial" w:cs="Arial"/>
          <w:szCs w:val="20"/>
        </w:rPr>
        <w:t xml:space="preserve"> including alterations to the contractual framework, changes to access control policies, or updates to the ethics assessment procedure</w:t>
      </w:r>
      <w:r w:rsidR="007B28C5">
        <w:rPr>
          <w:rFonts w:eastAsia="Arial" w:cs="Arial"/>
          <w:szCs w:val="20"/>
        </w:rPr>
        <w:t>,</w:t>
      </w:r>
      <w:r w:rsidRPr="12887AA1">
        <w:rPr>
          <w:rFonts w:eastAsia="Arial" w:cs="Arial"/>
          <w:szCs w:val="20"/>
        </w:rPr>
        <w:t xml:space="preserve"> require consultation with the Coordinating Entity and relevant participating organisations before approval.</w:t>
      </w:r>
    </w:p>
    <w:p w14:paraId="08C49DCB" w14:textId="2F6388FA" w:rsidR="63BC726A" w:rsidRDefault="63BC726A">
      <w:r w:rsidRPr="12887AA1">
        <w:rPr>
          <w:rFonts w:eastAsia="Arial" w:cs="Arial"/>
          <w:szCs w:val="20"/>
        </w:rPr>
        <w:t>All framework updates must be version-controlled, dated, and recorded in the governance archive. Participants must be notified of any changes that affect their obligations within a reasonable period before those changes take effect. This ensures that governance evolution is a transparent and deliberate process rather than a source of uncertainty for participants.</w:t>
      </w:r>
    </w:p>
    <w:p w14:paraId="2E912323" w14:textId="504CED38" w:rsidR="63BC726A" w:rsidRDefault="63BC726A">
      <w:r w:rsidRPr="12887AA1">
        <w:rPr>
          <w:rFonts w:eastAsia="Arial" w:cs="Arial"/>
          <w:szCs w:val="20"/>
        </w:rPr>
        <w:t xml:space="preserve">Together, these three </w:t>
      </w:r>
      <w:r w:rsidR="00027C65" w:rsidRPr="12887AA1">
        <w:rPr>
          <w:rFonts w:eastAsia="Arial" w:cs="Arial"/>
          <w:szCs w:val="20"/>
        </w:rPr>
        <w:t>dimensions of</w:t>
      </w:r>
      <w:r w:rsidRPr="12887AA1">
        <w:rPr>
          <w:rFonts w:eastAsia="Arial" w:cs="Arial"/>
          <w:szCs w:val="20"/>
        </w:rPr>
        <w:t xml:space="preserve"> personnel continuity, financial continuity, and governed evolution form the conditions under which the governance framework can remain a living and effective instrument rather than a document that is written, delivered, and forgotten. A dataspace that has reached Phase 3 of this roadmap has invested significantly in establishing accountability structures, ethical procedures, and monitoring mechanisms. Section 8.4 is the commitment that this investment is protected.</w:t>
      </w:r>
    </w:p>
    <w:p w14:paraId="3758F81D" w14:textId="5A270A49" w:rsidR="12887AA1" w:rsidRDefault="12887AA1" w:rsidP="12887AA1">
      <w:pPr>
        <w:rPr>
          <w:rFonts w:cs="Arial"/>
          <w:color w:val="FF0000"/>
        </w:rPr>
      </w:pPr>
    </w:p>
    <w:p w14:paraId="13DF2BEB" w14:textId="2BD7AD5A" w:rsidR="00E03079" w:rsidRPr="0050011A" w:rsidRDefault="00E03079">
      <w:pPr>
        <w:rPr>
          <w:rFonts w:eastAsiaTheme="majorEastAsia" w:cs="Arial"/>
          <w:b/>
          <w:sz w:val="40"/>
          <w:szCs w:val="40"/>
        </w:rPr>
      </w:pPr>
      <w:bookmarkStart w:id="175" w:name="_Toc230347208"/>
      <w:r w:rsidRPr="0050011A">
        <w:rPr>
          <w:rFonts w:cs="Arial"/>
        </w:rPr>
        <w:br w:type="page"/>
      </w:r>
    </w:p>
    <w:p w14:paraId="3F8B6FD5" w14:textId="5BEFA6CF" w:rsidR="00A87193" w:rsidRPr="0050011A" w:rsidRDefault="00E612DD" w:rsidP="00E03079">
      <w:pPr>
        <w:pStyle w:val="Heading1"/>
        <w:rPr>
          <w:rFonts w:cs="Arial"/>
        </w:rPr>
      </w:pPr>
      <w:bookmarkStart w:id="176" w:name="_Toc382548927"/>
      <w:r w:rsidRPr="54AD4DA9">
        <w:rPr>
          <w:rFonts w:cs="Arial"/>
        </w:rPr>
        <w:lastRenderedPageBreak/>
        <w:t>9. Conclusions and Recommendations</w:t>
      </w:r>
      <w:bookmarkEnd w:id="175"/>
      <w:bookmarkEnd w:id="176"/>
      <w:r w:rsidRPr="54AD4DA9">
        <w:rPr>
          <w:rFonts w:cs="Arial"/>
        </w:rPr>
        <w:t xml:space="preserve"> </w:t>
      </w:r>
    </w:p>
    <w:p w14:paraId="1FEBD6CF" w14:textId="77777777" w:rsidR="00E03079" w:rsidRPr="0050011A" w:rsidRDefault="00E03079" w:rsidP="00E03079">
      <w:pPr>
        <w:rPr>
          <w:rFonts w:cs="Arial"/>
          <w:b/>
        </w:rPr>
      </w:pPr>
      <w:bookmarkStart w:id="177" w:name="_Toc230347209"/>
      <w:r w:rsidRPr="0050011A">
        <w:rPr>
          <w:rFonts w:cs="Arial"/>
          <w:b/>
        </w:rPr>
        <w:t>Recommendation 1: Formally Establish the Governance Authority</w:t>
      </w:r>
    </w:p>
    <w:p w14:paraId="359C8DFB" w14:textId="77777777" w:rsidR="00E03079" w:rsidRPr="0050011A" w:rsidRDefault="00E03079" w:rsidP="00E03079">
      <w:pPr>
        <w:rPr>
          <w:rFonts w:cs="Arial"/>
        </w:rPr>
      </w:pPr>
      <w:r w:rsidRPr="0050011A">
        <w:rPr>
          <w:rFonts w:cs="Arial"/>
          <w:b/>
        </w:rPr>
        <w:t>Responsible actor:</w:t>
      </w:r>
      <w:r w:rsidRPr="0050011A">
        <w:rPr>
          <w:rFonts w:cs="Arial"/>
        </w:rPr>
        <w:t xml:space="preserve"> Municipality of Eindhoven and founding dataspace participants</w:t>
      </w:r>
    </w:p>
    <w:p w14:paraId="51FF944C" w14:textId="77777777" w:rsidR="00E03079" w:rsidRPr="0050011A" w:rsidRDefault="00E03079" w:rsidP="00E03079">
      <w:pPr>
        <w:rPr>
          <w:rFonts w:cs="Arial"/>
        </w:rPr>
      </w:pPr>
      <w:r w:rsidRPr="0050011A">
        <w:rPr>
          <w:rFonts w:cs="Arial"/>
          <w:b/>
        </w:rPr>
        <w:t>Timeline:</w:t>
      </w:r>
      <w:r w:rsidRPr="0050011A">
        <w:rPr>
          <w:rFonts w:cs="Arial"/>
        </w:rPr>
        <w:t xml:space="preserve"> Within 3 months</w:t>
      </w:r>
    </w:p>
    <w:p w14:paraId="54E917B3" w14:textId="77777777" w:rsidR="00E03079" w:rsidRPr="0050011A" w:rsidRDefault="00E03079" w:rsidP="00E03079">
      <w:pPr>
        <w:rPr>
          <w:rFonts w:cs="Arial"/>
        </w:rPr>
      </w:pPr>
      <w:r w:rsidRPr="0050011A">
        <w:rPr>
          <w:rFonts w:cs="Arial"/>
          <w:b/>
        </w:rPr>
        <w:t>Rationale:</w:t>
      </w:r>
      <w:r w:rsidRPr="0050011A">
        <w:rPr>
          <w:rFonts w:cs="Arial"/>
        </w:rPr>
        <w:t xml:space="preserve"> The Governance Authority is the central oversight body within the governance framework. Without it, responsibilities, escalation procedures, compliance reviews, and governance decisions cannot be performed consistently. Establishing this authority should therefore be treated as the highest implementation priority.</w:t>
      </w:r>
    </w:p>
    <w:p w14:paraId="0D3F240B" w14:textId="0C222DAA" w:rsidR="00E03079" w:rsidRPr="0050011A" w:rsidRDefault="00E03079" w:rsidP="00E03079">
      <w:pPr>
        <w:rPr>
          <w:rFonts w:cs="Arial"/>
        </w:rPr>
      </w:pPr>
    </w:p>
    <w:p w14:paraId="4A5670B2" w14:textId="77777777" w:rsidR="00E03079" w:rsidRPr="0050011A" w:rsidRDefault="00E03079" w:rsidP="00E03079">
      <w:pPr>
        <w:rPr>
          <w:rFonts w:cs="Arial"/>
          <w:b/>
        </w:rPr>
      </w:pPr>
      <w:r w:rsidRPr="0050011A">
        <w:rPr>
          <w:rFonts w:cs="Arial"/>
          <w:b/>
        </w:rPr>
        <w:t>Recommendation 2: Implement Mandatory Ethics Reviews for All New Use Cases</w:t>
      </w:r>
    </w:p>
    <w:p w14:paraId="712E2711" w14:textId="77777777" w:rsidR="00E03079" w:rsidRPr="0050011A" w:rsidRDefault="00E03079" w:rsidP="00E03079">
      <w:pPr>
        <w:rPr>
          <w:rFonts w:cs="Arial"/>
        </w:rPr>
      </w:pPr>
      <w:r w:rsidRPr="0050011A">
        <w:rPr>
          <w:rFonts w:cs="Arial"/>
          <w:b/>
        </w:rPr>
        <w:t>Responsible actor:</w:t>
      </w:r>
      <w:r w:rsidRPr="0050011A">
        <w:rPr>
          <w:rFonts w:cs="Arial"/>
        </w:rPr>
        <w:t xml:space="preserve"> Governance Authority</w:t>
      </w:r>
    </w:p>
    <w:p w14:paraId="129D9F2E" w14:textId="77777777" w:rsidR="00E03079" w:rsidRPr="0050011A" w:rsidRDefault="00E03079" w:rsidP="00E03079">
      <w:pPr>
        <w:rPr>
          <w:rFonts w:cs="Arial"/>
        </w:rPr>
      </w:pPr>
      <w:r w:rsidRPr="0050011A">
        <w:rPr>
          <w:rFonts w:cs="Arial"/>
          <w:b/>
        </w:rPr>
        <w:t>Timeline:</w:t>
      </w:r>
      <w:r w:rsidRPr="0050011A">
        <w:rPr>
          <w:rFonts w:cs="Arial"/>
        </w:rPr>
        <w:t xml:space="preserve"> Within 6 months</w:t>
      </w:r>
    </w:p>
    <w:p w14:paraId="43F05FAF" w14:textId="77777777" w:rsidR="00E03079" w:rsidRPr="0050011A" w:rsidRDefault="00E03079" w:rsidP="00E03079">
      <w:pPr>
        <w:rPr>
          <w:rFonts w:cs="Arial"/>
        </w:rPr>
      </w:pPr>
      <w:r w:rsidRPr="0050011A">
        <w:rPr>
          <w:rFonts w:cs="Arial"/>
          <w:b/>
        </w:rPr>
        <w:t>Rationale:</w:t>
      </w:r>
      <w:r w:rsidRPr="0050011A">
        <w:rPr>
          <w:rFonts w:cs="Arial"/>
        </w:rPr>
        <w:t xml:space="preserve"> The current dataspace lacks a structured ethics assessment process. Introducing mandatory ethics reviews based on ALTAI ensures that privacy, fairness, transparency, and societal impact are evaluated before data is used.</w:t>
      </w:r>
      <w:r w:rsidRPr="0050011A">
        <w:rPr>
          <w:rFonts w:cs="Arial"/>
          <w:b/>
        </w:rPr>
        <w:br/>
      </w:r>
    </w:p>
    <w:p w14:paraId="77938A59" w14:textId="77777777" w:rsidR="00E03079" w:rsidRPr="0050011A" w:rsidRDefault="00E03079" w:rsidP="00E03079">
      <w:pPr>
        <w:rPr>
          <w:rFonts w:cs="Arial"/>
          <w:b/>
        </w:rPr>
      </w:pPr>
      <w:r w:rsidRPr="0050011A">
        <w:rPr>
          <w:rFonts w:cs="Arial"/>
          <w:b/>
        </w:rPr>
        <w:t>Recommendation 3: Introduce Continuous Monitoring and Audit Logging</w:t>
      </w:r>
    </w:p>
    <w:p w14:paraId="722F6700" w14:textId="77777777" w:rsidR="00E03079" w:rsidRPr="0050011A" w:rsidRDefault="00E03079" w:rsidP="00E03079">
      <w:pPr>
        <w:rPr>
          <w:rFonts w:cs="Arial"/>
        </w:rPr>
      </w:pPr>
      <w:r w:rsidRPr="0050011A">
        <w:rPr>
          <w:rFonts w:cs="Arial"/>
          <w:b/>
        </w:rPr>
        <w:t>Responsible actor:</w:t>
      </w:r>
      <w:r w:rsidRPr="0050011A">
        <w:rPr>
          <w:rFonts w:cs="Arial"/>
        </w:rPr>
        <w:t xml:space="preserve"> Coordinating Entity</w:t>
      </w:r>
    </w:p>
    <w:p w14:paraId="1F8F4FC8" w14:textId="77777777" w:rsidR="00E03079" w:rsidRPr="0050011A" w:rsidRDefault="00E03079" w:rsidP="00E03079">
      <w:pPr>
        <w:rPr>
          <w:rFonts w:cs="Arial"/>
        </w:rPr>
      </w:pPr>
      <w:r w:rsidRPr="0050011A">
        <w:rPr>
          <w:rFonts w:cs="Arial"/>
          <w:b/>
        </w:rPr>
        <w:t>Timeline:</w:t>
      </w:r>
      <w:r w:rsidRPr="0050011A">
        <w:rPr>
          <w:rFonts w:cs="Arial"/>
        </w:rPr>
        <w:t xml:space="preserve"> Within 12 months</w:t>
      </w:r>
    </w:p>
    <w:p w14:paraId="57F46AF8" w14:textId="77777777" w:rsidR="00E03079" w:rsidRPr="0050011A" w:rsidRDefault="00E03079" w:rsidP="00E03079">
      <w:pPr>
        <w:rPr>
          <w:rFonts w:cs="Arial"/>
        </w:rPr>
      </w:pPr>
      <w:r w:rsidRPr="0050011A">
        <w:rPr>
          <w:rFonts w:cs="Arial"/>
          <w:b/>
        </w:rPr>
        <w:t>Rationale:</w:t>
      </w:r>
      <w:r w:rsidRPr="0050011A">
        <w:rPr>
          <w:rFonts w:cs="Arial"/>
        </w:rPr>
        <w:t xml:space="preserve"> Current governance arrangements provide limited visibility into how data is used after access is granted. Continuous logging and periodic audits are necessary to support accountability and detect misuse.</w:t>
      </w:r>
    </w:p>
    <w:p w14:paraId="56B89897" w14:textId="77777777" w:rsidR="00E03079" w:rsidRPr="0050011A" w:rsidRDefault="00E03079" w:rsidP="00E03079">
      <w:pPr>
        <w:rPr>
          <w:rFonts w:cs="Arial"/>
        </w:rPr>
      </w:pPr>
    </w:p>
    <w:p w14:paraId="02C2B34C" w14:textId="77777777" w:rsidR="00E03079" w:rsidRPr="0050011A" w:rsidRDefault="00E03079" w:rsidP="00E03079">
      <w:pPr>
        <w:rPr>
          <w:rFonts w:cs="Arial"/>
          <w:b/>
        </w:rPr>
      </w:pPr>
      <w:r w:rsidRPr="0050011A">
        <w:rPr>
          <w:rFonts w:cs="Arial"/>
          <w:b/>
        </w:rPr>
        <w:t>Recommendation 4: Establish a Re-identification Risk Assessment Procedure</w:t>
      </w:r>
    </w:p>
    <w:p w14:paraId="0265274E" w14:textId="77777777" w:rsidR="00E03079" w:rsidRPr="0050011A" w:rsidRDefault="00E03079" w:rsidP="00E03079">
      <w:pPr>
        <w:rPr>
          <w:rFonts w:cs="Arial"/>
        </w:rPr>
      </w:pPr>
      <w:r w:rsidRPr="0050011A">
        <w:rPr>
          <w:rFonts w:cs="Arial"/>
          <w:b/>
        </w:rPr>
        <w:t>Responsible actor:</w:t>
      </w:r>
      <w:r w:rsidRPr="0050011A">
        <w:rPr>
          <w:rFonts w:cs="Arial"/>
        </w:rPr>
        <w:t xml:space="preserve"> Governance Authority and Data Providers</w:t>
      </w:r>
    </w:p>
    <w:p w14:paraId="7DA193C1" w14:textId="77777777" w:rsidR="00E03079" w:rsidRPr="0050011A" w:rsidRDefault="00E03079" w:rsidP="00E03079">
      <w:pPr>
        <w:rPr>
          <w:rFonts w:cs="Arial"/>
        </w:rPr>
      </w:pPr>
      <w:r w:rsidRPr="0050011A">
        <w:rPr>
          <w:rFonts w:cs="Arial"/>
          <w:b/>
        </w:rPr>
        <w:t>Timeline:</w:t>
      </w:r>
      <w:r w:rsidRPr="0050011A">
        <w:rPr>
          <w:rFonts w:cs="Arial"/>
        </w:rPr>
        <w:t xml:space="preserve"> Immediate implementation and annual reassessment</w:t>
      </w:r>
    </w:p>
    <w:p w14:paraId="3AAE61B3" w14:textId="77777777" w:rsidR="00E03079" w:rsidRPr="0050011A" w:rsidRDefault="00E03079" w:rsidP="00E03079">
      <w:pPr>
        <w:rPr>
          <w:rFonts w:cs="Arial"/>
        </w:rPr>
      </w:pPr>
      <w:r w:rsidRPr="0050011A">
        <w:rPr>
          <w:rFonts w:cs="Arial"/>
          <w:b/>
        </w:rPr>
        <w:t>Rationale:</w:t>
      </w:r>
      <w:r w:rsidRPr="0050011A">
        <w:rPr>
          <w:rFonts w:cs="Arial"/>
        </w:rPr>
        <w:t xml:space="preserve"> Although datasets are anonymised, re-identification remains a recognised risk within smart city dataspaces. Periodic assessments help ensure that privacy protections remain effective over time.</w:t>
      </w:r>
    </w:p>
    <w:p w14:paraId="4EE6D556" w14:textId="77777777" w:rsidR="00E03079" w:rsidRPr="0050011A" w:rsidRDefault="00E03079" w:rsidP="00E03079">
      <w:pPr>
        <w:rPr>
          <w:rFonts w:cs="Arial"/>
        </w:rPr>
      </w:pPr>
    </w:p>
    <w:p w14:paraId="0AA5175E" w14:textId="163E8FAD" w:rsidR="00E03079" w:rsidRPr="0050011A" w:rsidRDefault="00E03079">
      <w:pPr>
        <w:rPr>
          <w:rFonts w:cs="Arial"/>
          <w:b/>
        </w:rPr>
      </w:pPr>
      <w:r w:rsidRPr="0050011A">
        <w:rPr>
          <w:rFonts w:cs="Arial"/>
          <w:b/>
        </w:rPr>
        <w:br w:type="page"/>
      </w:r>
    </w:p>
    <w:p w14:paraId="0F0FBC24" w14:textId="73A48C3E" w:rsidR="00E03079" w:rsidRPr="0050011A" w:rsidRDefault="00E03079" w:rsidP="00E03079">
      <w:pPr>
        <w:rPr>
          <w:rFonts w:cs="Arial"/>
          <w:b/>
        </w:rPr>
      </w:pPr>
      <w:r w:rsidRPr="0050011A">
        <w:rPr>
          <w:rFonts w:cs="Arial"/>
          <w:b/>
        </w:rPr>
        <w:lastRenderedPageBreak/>
        <w:t>Recommendation 5: Introduce Independent Oversight for the Municipality's Dual Role</w:t>
      </w:r>
    </w:p>
    <w:p w14:paraId="69B16560" w14:textId="77777777" w:rsidR="00E03079" w:rsidRPr="0050011A" w:rsidRDefault="00E03079" w:rsidP="00E03079">
      <w:pPr>
        <w:rPr>
          <w:rFonts w:cs="Arial"/>
        </w:rPr>
      </w:pPr>
      <w:r w:rsidRPr="0050011A">
        <w:rPr>
          <w:rFonts w:cs="Arial"/>
          <w:b/>
        </w:rPr>
        <w:t>Responsible actor:</w:t>
      </w:r>
      <w:r w:rsidRPr="0050011A">
        <w:rPr>
          <w:rFonts w:cs="Arial"/>
        </w:rPr>
        <w:t xml:space="preserve"> Governance Authority</w:t>
      </w:r>
    </w:p>
    <w:p w14:paraId="558B0BD6" w14:textId="77777777" w:rsidR="00E03079" w:rsidRPr="0050011A" w:rsidRDefault="00E03079" w:rsidP="00E03079">
      <w:pPr>
        <w:rPr>
          <w:rFonts w:cs="Arial"/>
        </w:rPr>
      </w:pPr>
      <w:r w:rsidRPr="0050011A">
        <w:rPr>
          <w:rFonts w:cs="Arial"/>
          <w:b/>
        </w:rPr>
        <w:t>Timeline:</w:t>
      </w:r>
      <w:r w:rsidRPr="0050011A">
        <w:rPr>
          <w:rFonts w:cs="Arial"/>
        </w:rPr>
        <w:t xml:space="preserve"> Within 6 months</w:t>
      </w:r>
    </w:p>
    <w:p w14:paraId="5251E32A" w14:textId="77777777" w:rsidR="00E03079" w:rsidRPr="0050011A" w:rsidRDefault="00E03079" w:rsidP="00E03079">
      <w:pPr>
        <w:rPr>
          <w:rFonts w:cs="Arial"/>
        </w:rPr>
      </w:pPr>
      <w:r w:rsidRPr="0050011A">
        <w:rPr>
          <w:rFonts w:cs="Arial"/>
          <w:b/>
        </w:rPr>
        <w:t>Rationale:</w:t>
      </w:r>
      <w:r w:rsidRPr="0050011A">
        <w:rPr>
          <w:rFonts w:cs="Arial"/>
        </w:rPr>
        <w:t xml:space="preserve"> The municipality acts as both a Data Provider and a primary Data User. Independent oversight is required to reduce conflicts of interest and strengthen public trust.</w:t>
      </w:r>
    </w:p>
    <w:p w14:paraId="2A84949B" w14:textId="77777777" w:rsidR="00E03079" w:rsidRPr="0050011A" w:rsidRDefault="00E03079" w:rsidP="00E03079">
      <w:pPr>
        <w:rPr>
          <w:rFonts w:cs="Arial"/>
        </w:rPr>
      </w:pPr>
    </w:p>
    <w:p w14:paraId="3B45C9B0" w14:textId="77777777" w:rsidR="00E03079" w:rsidRPr="0050011A" w:rsidRDefault="00E03079" w:rsidP="00E03079">
      <w:pPr>
        <w:rPr>
          <w:rFonts w:cs="Arial"/>
          <w:b/>
        </w:rPr>
      </w:pPr>
      <w:r w:rsidRPr="0050011A">
        <w:rPr>
          <w:rFonts w:cs="Arial"/>
          <w:b/>
        </w:rPr>
        <w:t>Recommendation 6: Formalise Data Sharing Agreements Across All Active Use Cases</w:t>
      </w:r>
    </w:p>
    <w:p w14:paraId="7F57346F" w14:textId="77777777" w:rsidR="00E03079" w:rsidRPr="0050011A" w:rsidRDefault="00E03079" w:rsidP="00E03079">
      <w:pPr>
        <w:rPr>
          <w:rFonts w:cs="Arial"/>
        </w:rPr>
      </w:pPr>
      <w:r w:rsidRPr="0050011A">
        <w:rPr>
          <w:rFonts w:cs="Arial"/>
          <w:b/>
        </w:rPr>
        <w:t>Responsible actor:</w:t>
      </w:r>
      <w:r w:rsidRPr="0050011A">
        <w:rPr>
          <w:rFonts w:cs="Arial"/>
        </w:rPr>
        <w:t xml:space="preserve"> Coordinating Entity and participating organisations</w:t>
      </w:r>
    </w:p>
    <w:p w14:paraId="4F837BD0" w14:textId="77777777" w:rsidR="00E03079" w:rsidRPr="0050011A" w:rsidRDefault="00E03079" w:rsidP="00E03079">
      <w:pPr>
        <w:rPr>
          <w:rFonts w:cs="Arial"/>
        </w:rPr>
      </w:pPr>
      <w:r w:rsidRPr="0050011A">
        <w:rPr>
          <w:rFonts w:cs="Arial"/>
          <w:b/>
        </w:rPr>
        <w:t>Timeline:</w:t>
      </w:r>
      <w:r w:rsidRPr="0050011A">
        <w:rPr>
          <w:rFonts w:cs="Arial"/>
        </w:rPr>
        <w:t xml:space="preserve"> Within 12 months</w:t>
      </w:r>
    </w:p>
    <w:p w14:paraId="0231AD36" w14:textId="77777777" w:rsidR="00E03079" w:rsidRPr="0050011A" w:rsidRDefault="00E03079" w:rsidP="00E03079">
      <w:pPr>
        <w:rPr>
          <w:rFonts w:cs="Arial"/>
        </w:rPr>
      </w:pPr>
      <w:r w:rsidRPr="0050011A">
        <w:rPr>
          <w:rFonts w:cs="Arial"/>
          <w:b/>
        </w:rPr>
        <w:t>Rationale:</w:t>
      </w:r>
      <w:r w:rsidRPr="0050011A">
        <w:rPr>
          <w:rFonts w:cs="Arial"/>
        </w:rPr>
        <w:t xml:space="preserve"> Data sharing agreements transform governance principles into enforceable obligations by clearly defining purpose, responsibilities, retention periods, and access conditions.</w:t>
      </w:r>
    </w:p>
    <w:p w14:paraId="46CEB181" w14:textId="77777777" w:rsidR="00E03079" w:rsidRPr="0050011A" w:rsidRDefault="00E03079" w:rsidP="00E03079">
      <w:pPr>
        <w:rPr>
          <w:rFonts w:cs="Arial"/>
        </w:rPr>
      </w:pPr>
    </w:p>
    <w:p w14:paraId="027C873F" w14:textId="77777777" w:rsidR="00E03079" w:rsidRPr="0050011A" w:rsidRDefault="00E03079" w:rsidP="00E03079">
      <w:pPr>
        <w:rPr>
          <w:rFonts w:cs="Arial"/>
        </w:rPr>
      </w:pPr>
      <w:r w:rsidRPr="0050011A">
        <w:rPr>
          <w:rFonts w:cs="Arial"/>
          <w:b/>
        </w:rPr>
        <w:t>Recommendation 7: Maintain Alignment with European Dataspace Standards</w:t>
      </w:r>
    </w:p>
    <w:p w14:paraId="7E5D3D25" w14:textId="77777777" w:rsidR="00E03079" w:rsidRPr="0050011A" w:rsidRDefault="00E03079" w:rsidP="00E03079">
      <w:pPr>
        <w:rPr>
          <w:rFonts w:cs="Arial"/>
        </w:rPr>
      </w:pPr>
      <w:r w:rsidRPr="0050011A">
        <w:rPr>
          <w:rFonts w:cs="Arial"/>
          <w:b/>
        </w:rPr>
        <w:t>Responsible actor:</w:t>
      </w:r>
      <w:r w:rsidRPr="0050011A">
        <w:rPr>
          <w:rFonts w:cs="Arial"/>
        </w:rPr>
        <w:t xml:space="preserve"> Governance Authority</w:t>
      </w:r>
    </w:p>
    <w:p w14:paraId="59FFBCAA" w14:textId="77777777" w:rsidR="00E03079" w:rsidRPr="0050011A" w:rsidRDefault="00E03079" w:rsidP="00E03079">
      <w:pPr>
        <w:rPr>
          <w:rFonts w:cs="Arial"/>
        </w:rPr>
      </w:pPr>
      <w:r w:rsidRPr="0050011A">
        <w:rPr>
          <w:rFonts w:cs="Arial"/>
          <w:b/>
        </w:rPr>
        <w:t>Timeline:</w:t>
      </w:r>
      <w:r w:rsidRPr="0050011A">
        <w:rPr>
          <w:rFonts w:cs="Arial"/>
        </w:rPr>
        <w:t xml:space="preserve"> Ongoing</w:t>
      </w:r>
    </w:p>
    <w:p w14:paraId="42F598DA" w14:textId="77777777" w:rsidR="00E03079" w:rsidRPr="0050011A" w:rsidRDefault="00E03079" w:rsidP="00E03079">
      <w:pPr>
        <w:rPr>
          <w:rFonts w:cs="Arial"/>
        </w:rPr>
      </w:pPr>
      <w:r w:rsidRPr="0050011A">
        <w:rPr>
          <w:rFonts w:cs="Arial"/>
          <w:b/>
        </w:rPr>
        <w:t>Rationale:</w:t>
      </w:r>
      <w:r w:rsidRPr="0050011A">
        <w:rPr>
          <w:rFonts w:cs="Arial"/>
        </w:rPr>
        <w:t xml:space="preserve"> Continued alignment with the DS4SSCC Blueprint, GDPR, Data Governance Act, Data Act, FAIR principles, and CARE principles will support interoperability and future scalability.</w:t>
      </w:r>
    </w:p>
    <w:p w14:paraId="62F5CDE4" w14:textId="77777777" w:rsidR="00E03079" w:rsidRPr="0050011A" w:rsidRDefault="00E03079" w:rsidP="00E03079">
      <w:pPr>
        <w:rPr>
          <w:rFonts w:cs="Arial"/>
        </w:rPr>
      </w:pPr>
    </w:p>
    <w:p w14:paraId="0AE896D9" w14:textId="77777777" w:rsidR="00E03079" w:rsidRPr="0050011A" w:rsidRDefault="00E03079" w:rsidP="00E03079">
      <w:pPr>
        <w:rPr>
          <w:rFonts w:cs="Arial"/>
          <w:b/>
        </w:rPr>
      </w:pPr>
      <w:r w:rsidRPr="0050011A">
        <w:rPr>
          <w:rFonts w:cs="Arial"/>
          <w:b/>
        </w:rPr>
        <w:t>Recommendation 8: Publish Annual Governance and Transparency Reports</w:t>
      </w:r>
    </w:p>
    <w:p w14:paraId="17EFAF58" w14:textId="77777777" w:rsidR="00E03079" w:rsidRPr="0050011A" w:rsidRDefault="00E03079" w:rsidP="00E03079">
      <w:pPr>
        <w:rPr>
          <w:rFonts w:cs="Arial"/>
        </w:rPr>
      </w:pPr>
      <w:r w:rsidRPr="0050011A">
        <w:rPr>
          <w:rFonts w:cs="Arial"/>
          <w:b/>
        </w:rPr>
        <w:t>Responsible actor:</w:t>
      </w:r>
      <w:r w:rsidRPr="0050011A">
        <w:rPr>
          <w:rFonts w:cs="Arial"/>
        </w:rPr>
        <w:t xml:space="preserve"> Governance Authority</w:t>
      </w:r>
    </w:p>
    <w:p w14:paraId="61267266" w14:textId="77777777" w:rsidR="00E03079" w:rsidRPr="0050011A" w:rsidRDefault="00E03079" w:rsidP="00E03079">
      <w:pPr>
        <w:rPr>
          <w:rFonts w:cs="Arial"/>
        </w:rPr>
      </w:pPr>
      <w:r w:rsidRPr="0050011A">
        <w:rPr>
          <w:rFonts w:cs="Arial"/>
          <w:b/>
        </w:rPr>
        <w:t>Timeline:</w:t>
      </w:r>
      <w:r w:rsidRPr="0050011A">
        <w:rPr>
          <w:rFonts w:cs="Arial"/>
        </w:rPr>
        <w:t xml:space="preserve"> Annually after implementation</w:t>
      </w:r>
    </w:p>
    <w:p w14:paraId="1AFF8C12" w14:textId="77777777" w:rsidR="00E03079" w:rsidRPr="0050011A" w:rsidRDefault="00E03079" w:rsidP="00E03079">
      <w:pPr>
        <w:rPr>
          <w:rFonts w:cs="Arial"/>
        </w:rPr>
      </w:pPr>
      <w:r w:rsidRPr="0050011A">
        <w:rPr>
          <w:rFonts w:cs="Arial"/>
          <w:b/>
        </w:rPr>
        <w:t>Rationale:</w:t>
      </w:r>
      <w:r w:rsidRPr="0050011A">
        <w:rPr>
          <w:rFonts w:cs="Arial"/>
        </w:rPr>
        <w:t xml:space="preserve"> Public reporting increases transparency, demonstrates accountability, and helps maintain trust among participants, policymakers, and citizens.</w:t>
      </w:r>
    </w:p>
    <w:p w14:paraId="57803B11" w14:textId="791AAD2C" w:rsidR="00E03079" w:rsidRPr="0050011A" w:rsidRDefault="00E03079">
      <w:pPr>
        <w:rPr>
          <w:rFonts w:eastAsiaTheme="majorEastAsia" w:cs="Arial"/>
          <w:b/>
          <w:sz w:val="40"/>
          <w:szCs w:val="40"/>
        </w:rPr>
      </w:pPr>
      <w:r w:rsidRPr="0050011A">
        <w:rPr>
          <w:rFonts w:cs="Arial"/>
        </w:rPr>
        <w:br w:type="page"/>
      </w:r>
    </w:p>
    <w:p w14:paraId="14AD439E" w14:textId="77777777" w:rsidR="00E612DD" w:rsidRPr="0050011A" w:rsidRDefault="00E612DD" w:rsidP="005D4B85">
      <w:pPr>
        <w:pStyle w:val="Heading1"/>
        <w:rPr>
          <w:rFonts w:cs="Arial"/>
        </w:rPr>
      </w:pPr>
      <w:bookmarkStart w:id="178" w:name="_Toc183096419"/>
      <w:r w:rsidRPr="54AD4DA9">
        <w:rPr>
          <w:rFonts w:cs="Arial"/>
        </w:rPr>
        <w:lastRenderedPageBreak/>
        <w:t>10. Appendices</w:t>
      </w:r>
      <w:bookmarkEnd w:id="177"/>
      <w:bookmarkEnd w:id="178"/>
    </w:p>
    <w:p w14:paraId="4C6CB87A" w14:textId="77777777" w:rsidR="00AC1AE0" w:rsidRPr="0050011A" w:rsidRDefault="00AC1AE0" w:rsidP="00D67A8A">
      <w:pPr>
        <w:rPr>
          <w:rFonts w:cs="Arial"/>
        </w:rPr>
      </w:pPr>
    </w:p>
    <w:sectPr w:rsidR="00AC1AE0" w:rsidRPr="0050011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6FFF" w14:textId="77777777" w:rsidR="000B1C99" w:rsidRDefault="000B1C99">
      <w:pPr>
        <w:spacing w:after="0" w:line="240" w:lineRule="auto"/>
      </w:pPr>
      <w:r>
        <w:separator/>
      </w:r>
    </w:p>
  </w:endnote>
  <w:endnote w:type="continuationSeparator" w:id="0">
    <w:p w14:paraId="17327789" w14:textId="77777777" w:rsidR="000B1C99" w:rsidRDefault="000B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9158E7" w14:paraId="19EBD515" w14:textId="77777777" w:rsidTr="7B9158E7">
      <w:trPr>
        <w:trHeight w:val="300"/>
      </w:trPr>
      <w:tc>
        <w:tcPr>
          <w:tcW w:w="3005" w:type="dxa"/>
        </w:tcPr>
        <w:p w14:paraId="46358E69" w14:textId="1C000420" w:rsidR="7B9158E7" w:rsidRDefault="7B9158E7" w:rsidP="7B9158E7">
          <w:pPr>
            <w:pStyle w:val="Header"/>
            <w:ind w:left="-115"/>
          </w:pPr>
        </w:p>
      </w:tc>
      <w:tc>
        <w:tcPr>
          <w:tcW w:w="3005" w:type="dxa"/>
        </w:tcPr>
        <w:p w14:paraId="7FDB3348" w14:textId="50A979DE" w:rsidR="7B9158E7" w:rsidRDefault="7B9158E7" w:rsidP="7B9158E7">
          <w:pPr>
            <w:pStyle w:val="Header"/>
            <w:jc w:val="center"/>
          </w:pPr>
        </w:p>
      </w:tc>
      <w:tc>
        <w:tcPr>
          <w:tcW w:w="3005" w:type="dxa"/>
        </w:tcPr>
        <w:p w14:paraId="3978F674" w14:textId="4BD3866D" w:rsidR="7B9158E7" w:rsidRDefault="7B9158E7" w:rsidP="7B9158E7">
          <w:pPr>
            <w:pStyle w:val="Header"/>
            <w:ind w:right="-115"/>
            <w:jc w:val="right"/>
          </w:pPr>
        </w:p>
      </w:tc>
    </w:tr>
  </w:tbl>
  <w:p w14:paraId="5CB3284B" w14:textId="4AA61140" w:rsidR="7B9158E7" w:rsidRDefault="7B9158E7" w:rsidP="7B915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A2AA" w14:textId="77777777" w:rsidR="000B1C99" w:rsidRDefault="000B1C99">
      <w:pPr>
        <w:spacing w:after="0" w:line="240" w:lineRule="auto"/>
      </w:pPr>
      <w:r>
        <w:separator/>
      </w:r>
    </w:p>
  </w:footnote>
  <w:footnote w:type="continuationSeparator" w:id="0">
    <w:p w14:paraId="43CDE89B" w14:textId="77777777" w:rsidR="000B1C99" w:rsidRDefault="000B1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9158E7" w14:paraId="74AB297D" w14:textId="77777777" w:rsidTr="7B9158E7">
      <w:trPr>
        <w:trHeight w:val="300"/>
      </w:trPr>
      <w:tc>
        <w:tcPr>
          <w:tcW w:w="3005" w:type="dxa"/>
        </w:tcPr>
        <w:p w14:paraId="3BA189DA" w14:textId="141F015B" w:rsidR="7B9158E7" w:rsidRDefault="7B9158E7" w:rsidP="7B9158E7">
          <w:pPr>
            <w:pStyle w:val="Header"/>
            <w:ind w:left="-115"/>
          </w:pPr>
        </w:p>
      </w:tc>
      <w:tc>
        <w:tcPr>
          <w:tcW w:w="3005" w:type="dxa"/>
        </w:tcPr>
        <w:p w14:paraId="4D226153" w14:textId="1E3D5BEF" w:rsidR="7B9158E7" w:rsidRDefault="7B9158E7" w:rsidP="7B9158E7">
          <w:pPr>
            <w:pStyle w:val="Header"/>
            <w:jc w:val="center"/>
          </w:pPr>
        </w:p>
      </w:tc>
      <w:tc>
        <w:tcPr>
          <w:tcW w:w="3005" w:type="dxa"/>
        </w:tcPr>
        <w:p w14:paraId="75DEB997" w14:textId="71BD1777" w:rsidR="7B9158E7" w:rsidRDefault="7B9158E7" w:rsidP="7B9158E7">
          <w:pPr>
            <w:pStyle w:val="Header"/>
            <w:ind w:right="-115"/>
            <w:jc w:val="right"/>
          </w:pPr>
        </w:p>
      </w:tc>
    </w:tr>
  </w:tbl>
  <w:p w14:paraId="60E75315" w14:textId="4FA77537" w:rsidR="7B9158E7" w:rsidRDefault="7B9158E7" w:rsidP="7B915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D3D"/>
    <w:multiLevelType w:val="multilevel"/>
    <w:tmpl w:val="52D0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475E"/>
    <w:multiLevelType w:val="multilevel"/>
    <w:tmpl w:val="333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F2CE1"/>
    <w:multiLevelType w:val="hybridMultilevel"/>
    <w:tmpl w:val="CDD2944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12A3338"/>
    <w:multiLevelType w:val="multilevel"/>
    <w:tmpl w:val="2C2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04FC3"/>
    <w:multiLevelType w:val="multilevel"/>
    <w:tmpl w:val="6D0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270F6"/>
    <w:multiLevelType w:val="hybridMultilevel"/>
    <w:tmpl w:val="D6BCA1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4B1317F"/>
    <w:multiLevelType w:val="multilevel"/>
    <w:tmpl w:val="092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F3DEE"/>
    <w:multiLevelType w:val="multilevel"/>
    <w:tmpl w:val="42E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70C57"/>
    <w:multiLevelType w:val="multilevel"/>
    <w:tmpl w:val="1B9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6170C"/>
    <w:multiLevelType w:val="hybridMultilevel"/>
    <w:tmpl w:val="A72A71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CC51DBD"/>
    <w:multiLevelType w:val="hybridMultilevel"/>
    <w:tmpl w:val="213C486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9226FB6"/>
    <w:multiLevelType w:val="hybridMultilevel"/>
    <w:tmpl w:val="1D689FA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C0A6452"/>
    <w:multiLevelType w:val="hybridMultilevel"/>
    <w:tmpl w:val="E79607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1697907"/>
    <w:multiLevelType w:val="hybridMultilevel"/>
    <w:tmpl w:val="88A803C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27B0DDD"/>
    <w:multiLevelType w:val="multilevel"/>
    <w:tmpl w:val="0152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5011B"/>
    <w:multiLevelType w:val="hybridMultilevel"/>
    <w:tmpl w:val="0A9A10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32832E8"/>
    <w:multiLevelType w:val="multilevel"/>
    <w:tmpl w:val="4E0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63D4C"/>
    <w:multiLevelType w:val="multilevel"/>
    <w:tmpl w:val="ADF2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F4175"/>
    <w:multiLevelType w:val="hybridMultilevel"/>
    <w:tmpl w:val="B0BEE3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95179FE"/>
    <w:multiLevelType w:val="hybridMultilevel"/>
    <w:tmpl w:val="8DB8422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A8D5880"/>
    <w:multiLevelType w:val="multilevel"/>
    <w:tmpl w:val="C442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24C3A"/>
    <w:multiLevelType w:val="multilevel"/>
    <w:tmpl w:val="1FF6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302869">
    <w:abstractNumId w:val="17"/>
  </w:num>
  <w:num w:numId="2" w16cid:durableId="1244875273">
    <w:abstractNumId w:val="16"/>
  </w:num>
  <w:num w:numId="3" w16cid:durableId="1052194231">
    <w:abstractNumId w:val="3"/>
  </w:num>
  <w:num w:numId="4" w16cid:durableId="1122532735">
    <w:abstractNumId w:val="21"/>
  </w:num>
  <w:num w:numId="5" w16cid:durableId="1733969477">
    <w:abstractNumId w:val="6"/>
  </w:num>
  <w:num w:numId="6" w16cid:durableId="871460664">
    <w:abstractNumId w:val="1"/>
  </w:num>
  <w:num w:numId="7" w16cid:durableId="406461552">
    <w:abstractNumId w:val="0"/>
  </w:num>
  <w:num w:numId="8" w16cid:durableId="908198866">
    <w:abstractNumId w:val="8"/>
  </w:num>
  <w:num w:numId="9" w16cid:durableId="953050475">
    <w:abstractNumId w:val="2"/>
  </w:num>
  <w:num w:numId="10" w16cid:durableId="1740667440">
    <w:abstractNumId w:val="13"/>
  </w:num>
  <w:num w:numId="11" w16cid:durableId="1004085568">
    <w:abstractNumId w:val="12"/>
  </w:num>
  <w:num w:numId="12" w16cid:durableId="1460077162">
    <w:abstractNumId w:val="15"/>
  </w:num>
  <w:num w:numId="13" w16cid:durableId="2033072481">
    <w:abstractNumId w:val="19"/>
  </w:num>
  <w:num w:numId="14" w16cid:durableId="110713980">
    <w:abstractNumId w:val="11"/>
  </w:num>
  <w:num w:numId="15" w16cid:durableId="938606610">
    <w:abstractNumId w:val="20"/>
  </w:num>
  <w:num w:numId="16" w16cid:durableId="1611158300">
    <w:abstractNumId w:val="5"/>
  </w:num>
  <w:num w:numId="17" w16cid:durableId="2006006760">
    <w:abstractNumId w:val="14"/>
  </w:num>
  <w:num w:numId="18" w16cid:durableId="1834645319">
    <w:abstractNumId w:val="10"/>
  </w:num>
  <w:num w:numId="19" w16cid:durableId="1873111083">
    <w:abstractNumId w:val="4"/>
  </w:num>
  <w:num w:numId="20" w16cid:durableId="1221870651">
    <w:abstractNumId w:val="9"/>
  </w:num>
  <w:num w:numId="21" w16cid:durableId="580020618">
    <w:abstractNumId w:val="7"/>
  </w:num>
  <w:num w:numId="22" w16cid:durableId="14791485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10"/>
    <w:rsid w:val="0000015A"/>
    <w:rsid w:val="000003D0"/>
    <w:rsid w:val="00000549"/>
    <w:rsid w:val="0000092E"/>
    <w:rsid w:val="000017A5"/>
    <w:rsid w:val="00001F20"/>
    <w:rsid w:val="00003D0C"/>
    <w:rsid w:val="00003F70"/>
    <w:rsid w:val="0000462A"/>
    <w:rsid w:val="00004940"/>
    <w:rsid w:val="00004E49"/>
    <w:rsid w:val="00005935"/>
    <w:rsid w:val="00005BA4"/>
    <w:rsid w:val="00006423"/>
    <w:rsid w:val="000067DA"/>
    <w:rsid w:val="00006AC2"/>
    <w:rsid w:val="00006B95"/>
    <w:rsid w:val="00006C00"/>
    <w:rsid w:val="00007547"/>
    <w:rsid w:val="000078E1"/>
    <w:rsid w:val="00010172"/>
    <w:rsid w:val="00010310"/>
    <w:rsid w:val="000103D0"/>
    <w:rsid w:val="00010E4C"/>
    <w:rsid w:val="00011096"/>
    <w:rsid w:val="000118E9"/>
    <w:rsid w:val="000124A9"/>
    <w:rsid w:val="00013058"/>
    <w:rsid w:val="00013829"/>
    <w:rsid w:val="0001415F"/>
    <w:rsid w:val="000144B0"/>
    <w:rsid w:val="000147C3"/>
    <w:rsid w:val="00016592"/>
    <w:rsid w:val="0001692B"/>
    <w:rsid w:val="00020C2C"/>
    <w:rsid w:val="00020DDE"/>
    <w:rsid w:val="000214DC"/>
    <w:rsid w:val="000224AC"/>
    <w:rsid w:val="000227C3"/>
    <w:rsid w:val="0002298C"/>
    <w:rsid w:val="00022A29"/>
    <w:rsid w:val="00022F79"/>
    <w:rsid w:val="000233DD"/>
    <w:rsid w:val="0002411A"/>
    <w:rsid w:val="00024158"/>
    <w:rsid w:val="000246A7"/>
    <w:rsid w:val="00024EFF"/>
    <w:rsid w:val="00025D11"/>
    <w:rsid w:val="0002755C"/>
    <w:rsid w:val="00027C65"/>
    <w:rsid w:val="0003131D"/>
    <w:rsid w:val="00031999"/>
    <w:rsid w:val="00031AA9"/>
    <w:rsid w:val="00031CA7"/>
    <w:rsid w:val="00032213"/>
    <w:rsid w:val="000326C6"/>
    <w:rsid w:val="0003276C"/>
    <w:rsid w:val="00032795"/>
    <w:rsid w:val="000347D0"/>
    <w:rsid w:val="0003544F"/>
    <w:rsid w:val="0003624A"/>
    <w:rsid w:val="00036259"/>
    <w:rsid w:val="000369E0"/>
    <w:rsid w:val="00037B84"/>
    <w:rsid w:val="00040272"/>
    <w:rsid w:val="000418AD"/>
    <w:rsid w:val="00041CC4"/>
    <w:rsid w:val="00041FDB"/>
    <w:rsid w:val="0004205D"/>
    <w:rsid w:val="00042934"/>
    <w:rsid w:val="00042B70"/>
    <w:rsid w:val="0004302A"/>
    <w:rsid w:val="00043C45"/>
    <w:rsid w:val="000440F7"/>
    <w:rsid w:val="00044594"/>
    <w:rsid w:val="00044742"/>
    <w:rsid w:val="000457A5"/>
    <w:rsid w:val="00046CC4"/>
    <w:rsid w:val="000474B7"/>
    <w:rsid w:val="00050337"/>
    <w:rsid w:val="00050355"/>
    <w:rsid w:val="00050B81"/>
    <w:rsid w:val="000511E2"/>
    <w:rsid w:val="00051C5B"/>
    <w:rsid w:val="00052CD4"/>
    <w:rsid w:val="000537C9"/>
    <w:rsid w:val="00053C36"/>
    <w:rsid w:val="00053D82"/>
    <w:rsid w:val="00054DFD"/>
    <w:rsid w:val="00055D16"/>
    <w:rsid w:val="00055DAA"/>
    <w:rsid w:val="00057677"/>
    <w:rsid w:val="00057D14"/>
    <w:rsid w:val="000607E8"/>
    <w:rsid w:val="00060909"/>
    <w:rsid w:val="00060A70"/>
    <w:rsid w:val="0006166E"/>
    <w:rsid w:val="000623C9"/>
    <w:rsid w:val="00062428"/>
    <w:rsid w:val="00062BE6"/>
    <w:rsid w:val="00063711"/>
    <w:rsid w:val="00063965"/>
    <w:rsid w:val="00063F1A"/>
    <w:rsid w:val="00064110"/>
    <w:rsid w:val="00065DF6"/>
    <w:rsid w:val="00066D69"/>
    <w:rsid w:val="00066E07"/>
    <w:rsid w:val="000704CD"/>
    <w:rsid w:val="00071036"/>
    <w:rsid w:val="00071534"/>
    <w:rsid w:val="0007156E"/>
    <w:rsid w:val="00072290"/>
    <w:rsid w:val="0007241C"/>
    <w:rsid w:val="00073C2A"/>
    <w:rsid w:val="00074277"/>
    <w:rsid w:val="00074880"/>
    <w:rsid w:val="00075DA9"/>
    <w:rsid w:val="00076249"/>
    <w:rsid w:val="00076B2F"/>
    <w:rsid w:val="00076E44"/>
    <w:rsid w:val="00076F0C"/>
    <w:rsid w:val="00077B6B"/>
    <w:rsid w:val="00080CF0"/>
    <w:rsid w:val="00081094"/>
    <w:rsid w:val="00081DB4"/>
    <w:rsid w:val="000821B4"/>
    <w:rsid w:val="0008260E"/>
    <w:rsid w:val="000831E9"/>
    <w:rsid w:val="00083203"/>
    <w:rsid w:val="00083228"/>
    <w:rsid w:val="00084535"/>
    <w:rsid w:val="00086155"/>
    <w:rsid w:val="000876A9"/>
    <w:rsid w:val="00087A44"/>
    <w:rsid w:val="000903C4"/>
    <w:rsid w:val="0009063F"/>
    <w:rsid w:val="00090EF6"/>
    <w:rsid w:val="000914A8"/>
    <w:rsid w:val="00091A98"/>
    <w:rsid w:val="00091B21"/>
    <w:rsid w:val="0009279A"/>
    <w:rsid w:val="00093BA1"/>
    <w:rsid w:val="00094122"/>
    <w:rsid w:val="00094405"/>
    <w:rsid w:val="00094F1D"/>
    <w:rsid w:val="000952DD"/>
    <w:rsid w:val="000960D8"/>
    <w:rsid w:val="00096BAB"/>
    <w:rsid w:val="00097250"/>
    <w:rsid w:val="0009755E"/>
    <w:rsid w:val="000A1059"/>
    <w:rsid w:val="000A112D"/>
    <w:rsid w:val="000A1489"/>
    <w:rsid w:val="000A1ADD"/>
    <w:rsid w:val="000A2263"/>
    <w:rsid w:val="000A252B"/>
    <w:rsid w:val="000A3137"/>
    <w:rsid w:val="000A38E9"/>
    <w:rsid w:val="000A4E9E"/>
    <w:rsid w:val="000A7B08"/>
    <w:rsid w:val="000B0B0B"/>
    <w:rsid w:val="000B1C99"/>
    <w:rsid w:val="000B25E4"/>
    <w:rsid w:val="000B2DBC"/>
    <w:rsid w:val="000B3C18"/>
    <w:rsid w:val="000B4210"/>
    <w:rsid w:val="000B4A93"/>
    <w:rsid w:val="000B5533"/>
    <w:rsid w:val="000B583A"/>
    <w:rsid w:val="000B5C82"/>
    <w:rsid w:val="000B5CCE"/>
    <w:rsid w:val="000B789F"/>
    <w:rsid w:val="000B7CE0"/>
    <w:rsid w:val="000C07E4"/>
    <w:rsid w:val="000C1496"/>
    <w:rsid w:val="000C2DBB"/>
    <w:rsid w:val="000C37AE"/>
    <w:rsid w:val="000C56F9"/>
    <w:rsid w:val="000C5B13"/>
    <w:rsid w:val="000C7452"/>
    <w:rsid w:val="000C76DD"/>
    <w:rsid w:val="000D063F"/>
    <w:rsid w:val="000D094C"/>
    <w:rsid w:val="000D0EA3"/>
    <w:rsid w:val="000D1316"/>
    <w:rsid w:val="000D32D8"/>
    <w:rsid w:val="000D3AC6"/>
    <w:rsid w:val="000D4904"/>
    <w:rsid w:val="000D4D39"/>
    <w:rsid w:val="000D59E8"/>
    <w:rsid w:val="000D617E"/>
    <w:rsid w:val="000D75E3"/>
    <w:rsid w:val="000D7E0A"/>
    <w:rsid w:val="000E02F8"/>
    <w:rsid w:val="000E0993"/>
    <w:rsid w:val="000E3364"/>
    <w:rsid w:val="000E3396"/>
    <w:rsid w:val="000E3BF3"/>
    <w:rsid w:val="000E3ED0"/>
    <w:rsid w:val="000E49E3"/>
    <w:rsid w:val="000E4FA0"/>
    <w:rsid w:val="000E5950"/>
    <w:rsid w:val="000E5B8A"/>
    <w:rsid w:val="000E77FF"/>
    <w:rsid w:val="000E78FA"/>
    <w:rsid w:val="000E7BB9"/>
    <w:rsid w:val="000F1305"/>
    <w:rsid w:val="000F130E"/>
    <w:rsid w:val="000F19AD"/>
    <w:rsid w:val="000F19F4"/>
    <w:rsid w:val="000F1AA5"/>
    <w:rsid w:val="000F207D"/>
    <w:rsid w:val="000F2D32"/>
    <w:rsid w:val="000F375B"/>
    <w:rsid w:val="000F3DC2"/>
    <w:rsid w:val="000F47DF"/>
    <w:rsid w:val="000F4DD7"/>
    <w:rsid w:val="000F4EB5"/>
    <w:rsid w:val="000F599E"/>
    <w:rsid w:val="000F5CF2"/>
    <w:rsid w:val="000F6FBD"/>
    <w:rsid w:val="000F714B"/>
    <w:rsid w:val="000F76C2"/>
    <w:rsid w:val="00100636"/>
    <w:rsid w:val="001007CC"/>
    <w:rsid w:val="00101ED6"/>
    <w:rsid w:val="00101F9A"/>
    <w:rsid w:val="0010245D"/>
    <w:rsid w:val="001028B0"/>
    <w:rsid w:val="00102B4A"/>
    <w:rsid w:val="00102C22"/>
    <w:rsid w:val="00102F23"/>
    <w:rsid w:val="00103410"/>
    <w:rsid w:val="00104059"/>
    <w:rsid w:val="00104078"/>
    <w:rsid w:val="0010498A"/>
    <w:rsid w:val="00104F47"/>
    <w:rsid w:val="001062EC"/>
    <w:rsid w:val="0010642F"/>
    <w:rsid w:val="00106846"/>
    <w:rsid w:val="00107289"/>
    <w:rsid w:val="00107806"/>
    <w:rsid w:val="001100FE"/>
    <w:rsid w:val="00110223"/>
    <w:rsid w:val="001104FC"/>
    <w:rsid w:val="001106BC"/>
    <w:rsid w:val="00110FDD"/>
    <w:rsid w:val="0011122F"/>
    <w:rsid w:val="00111443"/>
    <w:rsid w:val="0011168F"/>
    <w:rsid w:val="00111730"/>
    <w:rsid w:val="00111796"/>
    <w:rsid w:val="001121D6"/>
    <w:rsid w:val="00112B6E"/>
    <w:rsid w:val="00113E92"/>
    <w:rsid w:val="0011467E"/>
    <w:rsid w:val="00115E08"/>
    <w:rsid w:val="00116399"/>
    <w:rsid w:val="00116C66"/>
    <w:rsid w:val="00120248"/>
    <w:rsid w:val="00121018"/>
    <w:rsid w:val="00121424"/>
    <w:rsid w:val="0012154D"/>
    <w:rsid w:val="001228E1"/>
    <w:rsid w:val="00122F24"/>
    <w:rsid w:val="001234AB"/>
    <w:rsid w:val="00123BBE"/>
    <w:rsid w:val="00123DEF"/>
    <w:rsid w:val="001245AD"/>
    <w:rsid w:val="00124743"/>
    <w:rsid w:val="001247FD"/>
    <w:rsid w:val="00124C71"/>
    <w:rsid w:val="00126E3A"/>
    <w:rsid w:val="00127A6F"/>
    <w:rsid w:val="00127DCD"/>
    <w:rsid w:val="00130D64"/>
    <w:rsid w:val="00131C4A"/>
    <w:rsid w:val="00132562"/>
    <w:rsid w:val="00132D99"/>
    <w:rsid w:val="0013382B"/>
    <w:rsid w:val="00133A74"/>
    <w:rsid w:val="0013435B"/>
    <w:rsid w:val="00134667"/>
    <w:rsid w:val="001351DA"/>
    <w:rsid w:val="001353D0"/>
    <w:rsid w:val="00137252"/>
    <w:rsid w:val="0014055A"/>
    <w:rsid w:val="0014179C"/>
    <w:rsid w:val="00141989"/>
    <w:rsid w:val="00141B0F"/>
    <w:rsid w:val="00142369"/>
    <w:rsid w:val="00142BBF"/>
    <w:rsid w:val="00142E85"/>
    <w:rsid w:val="00142FA9"/>
    <w:rsid w:val="00143F40"/>
    <w:rsid w:val="00144C5D"/>
    <w:rsid w:val="00145308"/>
    <w:rsid w:val="0014601C"/>
    <w:rsid w:val="0014623D"/>
    <w:rsid w:val="00146BB9"/>
    <w:rsid w:val="0014712E"/>
    <w:rsid w:val="0014791F"/>
    <w:rsid w:val="0015064B"/>
    <w:rsid w:val="00151202"/>
    <w:rsid w:val="001516F7"/>
    <w:rsid w:val="0015245F"/>
    <w:rsid w:val="00152AD0"/>
    <w:rsid w:val="0015366B"/>
    <w:rsid w:val="00153ACA"/>
    <w:rsid w:val="001545C0"/>
    <w:rsid w:val="0015471B"/>
    <w:rsid w:val="001547EF"/>
    <w:rsid w:val="00154C4B"/>
    <w:rsid w:val="00155AFC"/>
    <w:rsid w:val="00155D2D"/>
    <w:rsid w:val="00155FCD"/>
    <w:rsid w:val="0015608A"/>
    <w:rsid w:val="0015629D"/>
    <w:rsid w:val="001567A7"/>
    <w:rsid w:val="00157622"/>
    <w:rsid w:val="0016007A"/>
    <w:rsid w:val="001603F6"/>
    <w:rsid w:val="0016049C"/>
    <w:rsid w:val="00160894"/>
    <w:rsid w:val="0016094A"/>
    <w:rsid w:val="001618C8"/>
    <w:rsid w:val="0016233B"/>
    <w:rsid w:val="001631B9"/>
    <w:rsid w:val="00163DBE"/>
    <w:rsid w:val="001641D2"/>
    <w:rsid w:val="00164840"/>
    <w:rsid w:val="00164A12"/>
    <w:rsid w:val="00164CAA"/>
    <w:rsid w:val="00164DEB"/>
    <w:rsid w:val="00164FA6"/>
    <w:rsid w:val="00166264"/>
    <w:rsid w:val="0016631F"/>
    <w:rsid w:val="00166A69"/>
    <w:rsid w:val="00166AEE"/>
    <w:rsid w:val="00166E61"/>
    <w:rsid w:val="00167493"/>
    <w:rsid w:val="001677A6"/>
    <w:rsid w:val="00167D6C"/>
    <w:rsid w:val="00167EEB"/>
    <w:rsid w:val="00171437"/>
    <w:rsid w:val="00172B1E"/>
    <w:rsid w:val="00173CFC"/>
    <w:rsid w:val="00174662"/>
    <w:rsid w:val="0017478D"/>
    <w:rsid w:val="001750A4"/>
    <w:rsid w:val="001752BC"/>
    <w:rsid w:val="0017531F"/>
    <w:rsid w:val="001758B2"/>
    <w:rsid w:val="00175B85"/>
    <w:rsid w:val="001767D3"/>
    <w:rsid w:val="00177219"/>
    <w:rsid w:val="00177B87"/>
    <w:rsid w:val="001800DE"/>
    <w:rsid w:val="001802A6"/>
    <w:rsid w:val="00180D39"/>
    <w:rsid w:val="00181342"/>
    <w:rsid w:val="001816F3"/>
    <w:rsid w:val="00181A63"/>
    <w:rsid w:val="00181AD8"/>
    <w:rsid w:val="00181C4D"/>
    <w:rsid w:val="00181DE1"/>
    <w:rsid w:val="00182990"/>
    <w:rsid w:val="00182D07"/>
    <w:rsid w:val="00183273"/>
    <w:rsid w:val="00183B6A"/>
    <w:rsid w:val="00184265"/>
    <w:rsid w:val="00184531"/>
    <w:rsid w:val="00184D93"/>
    <w:rsid w:val="00185D5C"/>
    <w:rsid w:val="00185FF3"/>
    <w:rsid w:val="001877E5"/>
    <w:rsid w:val="00187DA8"/>
    <w:rsid w:val="001904F6"/>
    <w:rsid w:val="00190963"/>
    <w:rsid w:val="00191287"/>
    <w:rsid w:val="00191D91"/>
    <w:rsid w:val="001927C6"/>
    <w:rsid w:val="00192B84"/>
    <w:rsid w:val="00192F9B"/>
    <w:rsid w:val="001936A6"/>
    <w:rsid w:val="0019410D"/>
    <w:rsid w:val="001948A6"/>
    <w:rsid w:val="001948C0"/>
    <w:rsid w:val="00196543"/>
    <w:rsid w:val="0019688B"/>
    <w:rsid w:val="00196BFD"/>
    <w:rsid w:val="0019757A"/>
    <w:rsid w:val="001A04F6"/>
    <w:rsid w:val="001A0DEE"/>
    <w:rsid w:val="001A1F9A"/>
    <w:rsid w:val="001A2F3C"/>
    <w:rsid w:val="001A5029"/>
    <w:rsid w:val="001A51CB"/>
    <w:rsid w:val="001A53DF"/>
    <w:rsid w:val="001A550C"/>
    <w:rsid w:val="001A609B"/>
    <w:rsid w:val="001A7799"/>
    <w:rsid w:val="001A7945"/>
    <w:rsid w:val="001A7C61"/>
    <w:rsid w:val="001B0AB0"/>
    <w:rsid w:val="001B16CA"/>
    <w:rsid w:val="001B16E6"/>
    <w:rsid w:val="001B16F3"/>
    <w:rsid w:val="001B1CBB"/>
    <w:rsid w:val="001B1E2E"/>
    <w:rsid w:val="001B21D7"/>
    <w:rsid w:val="001B2611"/>
    <w:rsid w:val="001B3B3B"/>
    <w:rsid w:val="001B497B"/>
    <w:rsid w:val="001B49C8"/>
    <w:rsid w:val="001B4F84"/>
    <w:rsid w:val="001B6085"/>
    <w:rsid w:val="001B6443"/>
    <w:rsid w:val="001B65D7"/>
    <w:rsid w:val="001B6EA0"/>
    <w:rsid w:val="001B73D2"/>
    <w:rsid w:val="001B791E"/>
    <w:rsid w:val="001B7F97"/>
    <w:rsid w:val="001C008F"/>
    <w:rsid w:val="001C019D"/>
    <w:rsid w:val="001C0AAA"/>
    <w:rsid w:val="001C1D0F"/>
    <w:rsid w:val="001C2D22"/>
    <w:rsid w:val="001C3122"/>
    <w:rsid w:val="001C3398"/>
    <w:rsid w:val="001C389F"/>
    <w:rsid w:val="001C3E04"/>
    <w:rsid w:val="001C4162"/>
    <w:rsid w:val="001C4BBD"/>
    <w:rsid w:val="001C532B"/>
    <w:rsid w:val="001C5F96"/>
    <w:rsid w:val="001C6701"/>
    <w:rsid w:val="001C6DE5"/>
    <w:rsid w:val="001D05D4"/>
    <w:rsid w:val="001D0DB1"/>
    <w:rsid w:val="001D1942"/>
    <w:rsid w:val="001D1A93"/>
    <w:rsid w:val="001D1B54"/>
    <w:rsid w:val="001D1E19"/>
    <w:rsid w:val="001D22CE"/>
    <w:rsid w:val="001D3766"/>
    <w:rsid w:val="001D3FF4"/>
    <w:rsid w:val="001D43C6"/>
    <w:rsid w:val="001D4562"/>
    <w:rsid w:val="001D457F"/>
    <w:rsid w:val="001D564D"/>
    <w:rsid w:val="001D571A"/>
    <w:rsid w:val="001D62FD"/>
    <w:rsid w:val="001D7057"/>
    <w:rsid w:val="001D70FB"/>
    <w:rsid w:val="001D783F"/>
    <w:rsid w:val="001D7FD3"/>
    <w:rsid w:val="001E042B"/>
    <w:rsid w:val="001E0F05"/>
    <w:rsid w:val="001E1362"/>
    <w:rsid w:val="001E1409"/>
    <w:rsid w:val="001E1B0C"/>
    <w:rsid w:val="001E1ED3"/>
    <w:rsid w:val="001E1F2D"/>
    <w:rsid w:val="001E324C"/>
    <w:rsid w:val="001E359F"/>
    <w:rsid w:val="001E4043"/>
    <w:rsid w:val="001E609F"/>
    <w:rsid w:val="001E6538"/>
    <w:rsid w:val="001E65B1"/>
    <w:rsid w:val="001F0738"/>
    <w:rsid w:val="001F1335"/>
    <w:rsid w:val="001F17F4"/>
    <w:rsid w:val="001F1B16"/>
    <w:rsid w:val="001F1C87"/>
    <w:rsid w:val="001F2101"/>
    <w:rsid w:val="001F26B6"/>
    <w:rsid w:val="001F3107"/>
    <w:rsid w:val="001F340C"/>
    <w:rsid w:val="001F3A63"/>
    <w:rsid w:val="001F4088"/>
    <w:rsid w:val="001F4E6B"/>
    <w:rsid w:val="001F4F9D"/>
    <w:rsid w:val="001F5670"/>
    <w:rsid w:val="001F58ED"/>
    <w:rsid w:val="001F5A03"/>
    <w:rsid w:val="001F6B33"/>
    <w:rsid w:val="00200B14"/>
    <w:rsid w:val="00200E16"/>
    <w:rsid w:val="00201131"/>
    <w:rsid w:val="00202A6E"/>
    <w:rsid w:val="00203253"/>
    <w:rsid w:val="00203E7D"/>
    <w:rsid w:val="002051BD"/>
    <w:rsid w:val="00206400"/>
    <w:rsid w:val="002064EC"/>
    <w:rsid w:val="002067C0"/>
    <w:rsid w:val="002069CE"/>
    <w:rsid w:val="00206B25"/>
    <w:rsid w:val="002075D3"/>
    <w:rsid w:val="00207B84"/>
    <w:rsid w:val="0021113E"/>
    <w:rsid w:val="00212CF4"/>
    <w:rsid w:val="00213108"/>
    <w:rsid w:val="00213411"/>
    <w:rsid w:val="00213986"/>
    <w:rsid w:val="00213E1E"/>
    <w:rsid w:val="002159A1"/>
    <w:rsid w:val="00215BD3"/>
    <w:rsid w:val="002167D6"/>
    <w:rsid w:val="00216896"/>
    <w:rsid w:val="00217A10"/>
    <w:rsid w:val="002209C8"/>
    <w:rsid w:val="002222C4"/>
    <w:rsid w:val="00222586"/>
    <w:rsid w:val="00222D15"/>
    <w:rsid w:val="00223029"/>
    <w:rsid w:val="0022343E"/>
    <w:rsid w:val="002234FA"/>
    <w:rsid w:val="00223D18"/>
    <w:rsid w:val="00224013"/>
    <w:rsid w:val="00224589"/>
    <w:rsid w:val="00225CEF"/>
    <w:rsid w:val="002263C2"/>
    <w:rsid w:val="0022691C"/>
    <w:rsid w:val="00227E03"/>
    <w:rsid w:val="00230029"/>
    <w:rsid w:val="00230752"/>
    <w:rsid w:val="002311BD"/>
    <w:rsid w:val="00231546"/>
    <w:rsid w:val="002317A0"/>
    <w:rsid w:val="00231F34"/>
    <w:rsid w:val="002327E6"/>
    <w:rsid w:val="00232BEE"/>
    <w:rsid w:val="002333C2"/>
    <w:rsid w:val="002335BB"/>
    <w:rsid w:val="00233AF9"/>
    <w:rsid w:val="00233D10"/>
    <w:rsid w:val="00233E26"/>
    <w:rsid w:val="00235164"/>
    <w:rsid w:val="0023524C"/>
    <w:rsid w:val="002364A3"/>
    <w:rsid w:val="002366D1"/>
    <w:rsid w:val="00237024"/>
    <w:rsid w:val="002373B5"/>
    <w:rsid w:val="00237D06"/>
    <w:rsid w:val="0024056E"/>
    <w:rsid w:val="0024106E"/>
    <w:rsid w:val="0024121A"/>
    <w:rsid w:val="00241E6E"/>
    <w:rsid w:val="00242418"/>
    <w:rsid w:val="0024241D"/>
    <w:rsid w:val="002428B7"/>
    <w:rsid w:val="00242C1F"/>
    <w:rsid w:val="002431AC"/>
    <w:rsid w:val="00243E2D"/>
    <w:rsid w:val="00244025"/>
    <w:rsid w:val="00244CC2"/>
    <w:rsid w:val="00245563"/>
    <w:rsid w:val="0024576F"/>
    <w:rsid w:val="002457DA"/>
    <w:rsid w:val="00245C85"/>
    <w:rsid w:val="00245EE3"/>
    <w:rsid w:val="00246063"/>
    <w:rsid w:val="0024634A"/>
    <w:rsid w:val="00246879"/>
    <w:rsid w:val="00246D92"/>
    <w:rsid w:val="00246E9F"/>
    <w:rsid w:val="00247210"/>
    <w:rsid w:val="00247C94"/>
    <w:rsid w:val="0025019C"/>
    <w:rsid w:val="00250511"/>
    <w:rsid w:val="0025069F"/>
    <w:rsid w:val="00250FC3"/>
    <w:rsid w:val="00251083"/>
    <w:rsid w:val="00252E70"/>
    <w:rsid w:val="002531FC"/>
    <w:rsid w:val="00253BF5"/>
    <w:rsid w:val="00254276"/>
    <w:rsid w:val="002554F6"/>
    <w:rsid w:val="002562EE"/>
    <w:rsid w:val="002575B0"/>
    <w:rsid w:val="002600AF"/>
    <w:rsid w:val="00260138"/>
    <w:rsid w:val="0026071A"/>
    <w:rsid w:val="0026152D"/>
    <w:rsid w:val="00262203"/>
    <w:rsid w:val="00263AD7"/>
    <w:rsid w:val="00264804"/>
    <w:rsid w:val="00264A39"/>
    <w:rsid w:val="00264A8F"/>
    <w:rsid w:val="00264B1B"/>
    <w:rsid w:val="00265430"/>
    <w:rsid w:val="00270522"/>
    <w:rsid w:val="00270827"/>
    <w:rsid w:val="00271C90"/>
    <w:rsid w:val="00271FF5"/>
    <w:rsid w:val="002721A5"/>
    <w:rsid w:val="00272997"/>
    <w:rsid w:val="00272EA6"/>
    <w:rsid w:val="0027315C"/>
    <w:rsid w:val="00273BD6"/>
    <w:rsid w:val="00275616"/>
    <w:rsid w:val="00276024"/>
    <w:rsid w:val="00276D26"/>
    <w:rsid w:val="0027740B"/>
    <w:rsid w:val="00280289"/>
    <w:rsid w:val="0028082D"/>
    <w:rsid w:val="00280889"/>
    <w:rsid w:val="00280995"/>
    <w:rsid w:val="00281A65"/>
    <w:rsid w:val="0028225A"/>
    <w:rsid w:val="00282489"/>
    <w:rsid w:val="002827DB"/>
    <w:rsid w:val="00282A0C"/>
    <w:rsid w:val="0028367C"/>
    <w:rsid w:val="00283BB4"/>
    <w:rsid w:val="00284759"/>
    <w:rsid w:val="002853FA"/>
    <w:rsid w:val="0028546A"/>
    <w:rsid w:val="00285866"/>
    <w:rsid w:val="002858DE"/>
    <w:rsid w:val="00286D89"/>
    <w:rsid w:val="00287A83"/>
    <w:rsid w:val="00290658"/>
    <w:rsid w:val="00290FC5"/>
    <w:rsid w:val="0029229C"/>
    <w:rsid w:val="00292617"/>
    <w:rsid w:val="00292F56"/>
    <w:rsid w:val="002931F3"/>
    <w:rsid w:val="00293BE6"/>
    <w:rsid w:val="00294137"/>
    <w:rsid w:val="002955AD"/>
    <w:rsid w:val="002957E7"/>
    <w:rsid w:val="00295F76"/>
    <w:rsid w:val="0029634E"/>
    <w:rsid w:val="002966B9"/>
    <w:rsid w:val="00297A1C"/>
    <w:rsid w:val="002A049E"/>
    <w:rsid w:val="002A05AD"/>
    <w:rsid w:val="002A1599"/>
    <w:rsid w:val="002A1688"/>
    <w:rsid w:val="002A291B"/>
    <w:rsid w:val="002A2A96"/>
    <w:rsid w:val="002A4B24"/>
    <w:rsid w:val="002A566F"/>
    <w:rsid w:val="002A5832"/>
    <w:rsid w:val="002A5945"/>
    <w:rsid w:val="002A5EED"/>
    <w:rsid w:val="002A6345"/>
    <w:rsid w:val="002A77A6"/>
    <w:rsid w:val="002B1352"/>
    <w:rsid w:val="002B180D"/>
    <w:rsid w:val="002B1FD6"/>
    <w:rsid w:val="002B24BC"/>
    <w:rsid w:val="002B2828"/>
    <w:rsid w:val="002B418B"/>
    <w:rsid w:val="002B4547"/>
    <w:rsid w:val="002B47E4"/>
    <w:rsid w:val="002B5222"/>
    <w:rsid w:val="002B53BB"/>
    <w:rsid w:val="002B66D2"/>
    <w:rsid w:val="002B6AB3"/>
    <w:rsid w:val="002B79E9"/>
    <w:rsid w:val="002C0685"/>
    <w:rsid w:val="002C234C"/>
    <w:rsid w:val="002C3400"/>
    <w:rsid w:val="002C34DB"/>
    <w:rsid w:val="002C3958"/>
    <w:rsid w:val="002C3CC8"/>
    <w:rsid w:val="002C42A0"/>
    <w:rsid w:val="002C4563"/>
    <w:rsid w:val="002C4716"/>
    <w:rsid w:val="002C5D2D"/>
    <w:rsid w:val="002C63A1"/>
    <w:rsid w:val="002C6EFE"/>
    <w:rsid w:val="002C7FAD"/>
    <w:rsid w:val="002D015F"/>
    <w:rsid w:val="002D09E0"/>
    <w:rsid w:val="002D0DCE"/>
    <w:rsid w:val="002D21B2"/>
    <w:rsid w:val="002D23D0"/>
    <w:rsid w:val="002D40F3"/>
    <w:rsid w:val="002D4520"/>
    <w:rsid w:val="002D4AB6"/>
    <w:rsid w:val="002D50F7"/>
    <w:rsid w:val="002D5890"/>
    <w:rsid w:val="002D5E00"/>
    <w:rsid w:val="002D61C1"/>
    <w:rsid w:val="002D793D"/>
    <w:rsid w:val="002D7FBF"/>
    <w:rsid w:val="002E033F"/>
    <w:rsid w:val="002E091E"/>
    <w:rsid w:val="002E0C2C"/>
    <w:rsid w:val="002E0F4C"/>
    <w:rsid w:val="002E1039"/>
    <w:rsid w:val="002E1DCD"/>
    <w:rsid w:val="002E2321"/>
    <w:rsid w:val="002E2439"/>
    <w:rsid w:val="002E2984"/>
    <w:rsid w:val="002E2993"/>
    <w:rsid w:val="002E2DF3"/>
    <w:rsid w:val="002E4E77"/>
    <w:rsid w:val="002E5776"/>
    <w:rsid w:val="002E5C21"/>
    <w:rsid w:val="002E5CA9"/>
    <w:rsid w:val="002E5D50"/>
    <w:rsid w:val="002E6173"/>
    <w:rsid w:val="002E6182"/>
    <w:rsid w:val="002E6301"/>
    <w:rsid w:val="002E7284"/>
    <w:rsid w:val="002E72F2"/>
    <w:rsid w:val="002E79A7"/>
    <w:rsid w:val="002F00DA"/>
    <w:rsid w:val="002F0952"/>
    <w:rsid w:val="002F0E3D"/>
    <w:rsid w:val="002F0E6A"/>
    <w:rsid w:val="002F1403"/>
    <w:rsid w:val="002F1EF7"/>
    <w:rsid w:val="002F23CC"/>
    <w:rsid w:val="002F2EE3"/>
    <w:rsid w:val="002F3535"/>
    <w:rsid w:val="002F35F8"/>
    <w:rsid w:val="002F3A49"/>
    <w:rsid w:val="002F4092"/>
    <w:rsid w:val="002F4286"/>
    <w:rsid w:val="002F4720"/>
    <w:rsid w:val="002F4952"/>
    <w:rsid w:val="002F5143"/>
    <w:rsid w:val="002F5462"/>
    <w:rsid w:val="002F5E5E"/>
    <w:rsid w:val="002F5EAB"/>
    <w:rsid w:val="002F65FA"/>
    <w:rsid w:val="002F6EAB"/>
    <w:rsid w:val="002F7261"/>
    <w:rsid w:val="002F7690"/>
    <w:rsid w:val="003005E7"/>
    <w:rsid w:val="00300E29"/>
    <w:rsid w:val="003010C1"/>
    <w:rsid w:val="00301D77"/>
    <w:rsid w:val="00303580"/>
    <w:rsid w:val="0030424F"/>
    <w:rsid w:val="00304884"/>
    <w:rsid w:val="00304CB9"/>
    <w:rsid w:val="00306247"/>
    <w:rsid w:val="00306369"/>
    <w:rsid w:val="003079E2"/>
    <w:rsid w:val="003103CC"/>
    <w:rsid w:val="003115ED"/>
    <w:rsid w:val="00311B85"/>
    <w:rsid w:val="00311D2D"/>
    <w:rsid w:val="00311F24"/>
    <w:rsid w:val="003121C3"/>
    <w:rsid w:val="00312A1D"/>
    <w:rsid w:val="00312C35"/>
    <w:rsid w:val="0031348E"/>
    <w:rsid w:val="00313A05"/>
    <w:rsid w:val="00313A99"/>
    <w:rsid w:val="003140EF"/>
    <w:rsid w:val="00314406"/>
    <w:rsid w:val="003144A3"/>
    <w:rsid w:val="00314EF6"/>
    <w:rsid w:val="00315222"/>
    <w:rsid w:val="00315737"/>
    <w:rsid w:val="00316166"/>
    <w:rsid w:val="00316286"/>
    <w:rsid w:val="00317734"/>
    <w:rsid w:val="0031789A"/>
    <w:rsid w:val="00317D77"/>
    <w:rsid w:val="0032091A"/>
    <w:rsid w:val="003210E9"/>
    <w:rsid w:val="003216EA"/>
    <w:rsid w:val="00321905"/>
    <w:rsid w:val="00321DE3"/>
    <w:rsid w:val="00322099"/>
    <w:rsid w:val="00322E53"/>
    <w:rsid w:val="00323B2F"/>
    <w:rsid w:val="00324F46"/>
    <w:rsid w:val="003261A2"/>
    <w:rsid w:val="0032775B"/>
    <w:rsid w:val="003277F9"/>
    <w:rsid w:val="0032786C"/>
    <w:rsid w:val="00327E2F"/>
    <w:rsid w:val="00330106"/>
    <w:rsid w:val="003305E6"/>
    <w:rsid w:val="00330E58"/>
    <w:rsid w:val="0033195F"/>
    <w:rsid w:val="003319B7"/>
    <w:rsid w:val="00331AD9"/>
    <w:rsid w:val="00331DDD"/>
    <w:rsid w:val="00332320"/>
    <w:rsid w:val="0033407E"/>
    <w:rsid w:val="003343FD"/>
    <w:rsid w:val="00334AAB"/>
    <w:rsid w:val="00334E02"/>
    <w:rsid w:val="00335452"/>
    <w:rsid w:val="003359B5"/>
    <w:rsid w:val="0033662C"/>
    <w:rsid w:val="0033679C"/>
    <w:rsid w:val="00337850"/>
    <w:rsid w:val="00337CAE"/>
    <w:rsid w:val="00342053"/>
    <w:rsid w:val="0034227E"/>
    <w:rsid w:val="00342542"/>
    <w:rsid w:val="003428B9"/>
    <w:rsid w:val="003439A6"/>
    <w:rsid w:val="003439B0"/>
    <w:rsid w:val="00343C2B"/>
    <w:rsid w:val="00344EBD"/>
    <w:rsid w:val="00345AC8"/>
    <w:rsid w:val="00345CC3"/>
    <w:rsid w:val="003466D1"/>
    <w:rsid w:val="00346A94"/>
    <w:rsid w:val="00347B20"/>
    <w:rsid w:val="003517A1"/>
    <w:rsid w:val="00351940"/>
    <w:rsid w:val="00351C79"/>
    <w:rsid w:val="00351D34"/>
    <w:rsid w:val="00352A96"/>
    <w:rsid w:val="00352C3D"/>
    <w:rsid w:val="003531F6"/>
    <w:rsid w:val="0035326E"/>
    <w:rsid w:val="00353908"/>
    <w:rsid w:val="0035566D"/>
    <w:rsid w:val="00355849"/>
    <w:rsid w:val="003559E2"/>
    <w:rsid w:val="00355D08"/>
    <w:rsid w:val="00355D2A"/>
    <w:rsid w:val="00357393"/>
    <w:rsid w:val="00357AAB"/>
    <w:rsid w:val="00360A3B"/>
    <w:rsid w:val="003611D8"/>
    <w:rsid w:val="0036216D"/>
    <w:rsid w:val="003630DE"/>
    <w:rsid w:val="00363596"/>
    <w:rsid w:val="00363AE6"/>
    <w:rsid w:val="003641FF"/>
    <w:rsid w:val="00364874"/>
    <w:rsid w:val="00365235"/>
    <w:rsid w:val="00365850"/>
    <w:rsid w:val="003664D6"/>
    <w:rsid w:val="00366549"/>
    <w:rsid w:val="003671E1"/>
    <w:rsid w:val="003677EC"/>
    <w:rsid w:val="00367970"/>
    <w:rsid w:val="003705F5"/>
    <w:rsid w:val="00370E7F"/>
    <w:rsid w:val="00371BEB"/>
    <w:rsid w:val="003722A6"/>
    <w:rsid w:val="00372449"/>
    <w:rsid w:val="00372627"/>
    <w:rsid w:val="00372DA6"/>
    <w:rsid w:val="003736AF"/>
    <w:rsid w:val="003748F1"/>
    <w:rsid w:val="00374D62"/>
    <w:rsid w:val="00374E10"/>
    <w:rsid w:val="00375A20"/>
    <w:rsid w:val="00375ECF"/>
    <w:rsid w:val="00376325"/>
    <w:rsid w:val="00376CFA"/>
    <w:rsid w:val="00377583"/>
    <w:rsid w:val="00377B51"/>
    <w:rsid w:val="00377C4F"/>
    <w:rsid w:val="0038136C"/>
    <w:rsid w:val="00381CEC"/>
    <w:rsid w:val="003820EC"/>
    <w:rsid w:val="003822C2"/>
    <w:rsid w:val="00382DE1"/>
    <w:rsid w:val="00383147"/>
    <w:rsid w:val="00383203"/>
    <w:rsid w:val="0038331C"/>
    <w:rsid w:val="00383625"/>
    <w:rsid w:val="00383D3F"/>
    <w:rsid w:val="00383D5C"/>
    <w:rsid w:val="003842AC"/>
    <w:rsid w:val="00385599"/>
    <w:rsid w:val="003859C6"/>
    <w:rsid w:val="003868DD"/>
    <w:rsid w:val="00387F63"/>
    <w:rsid w:val="00390E6F"/>
    <w:rsid w:val="003911E9"/>
    <w:rsid w:val="00391492"/>
    <w:rsid w:val="00391CDC"/>
    <w:rsid w:val="0039370E"/>
    <w:rsid w:val="00394788"/>
    <w:rsid w:val="003964F9"/>
    <w:rsid w:val="00396D27"/>
    <w:rsid w:val="003A0358"/>
    <w:rsid w:val="003A06E2"/>
    <w:rsid w:val="003A0E13"/>
    <w:rsid w:val="003A0F46"/>
    <w:rsid w:val="003A14F4"/>
    <w:rsid w:val="003A3DB6"/>
    <w:rsid w:val="003A40C7"/>
    <w:rsid w:val="003A4156"/>
    <w:rsid w:val="003A497C"/>
    <w:rsid w:val="003A4A81"/>
    <w:rsid w:val="003A4BAF"/>
    <w:rsid w:val="003A51E3"/>
    <w:rsid w:val="003A7A5B"/>
    <w:rsid w:val="003A7B4B"/>
    <w:rsid w:val="003A7F2C"/>
    <w:rsid w:val="003B0240"/>
    <w:rsid w:val="003B175B"/>
    <w:rsid w:val="003B17E1"/>
    <w:rsid w:val="003B1A09"/>
    <w:rsid w:val="003B1C89"/>
    <w:rsid w:val="003B298A"/>
    <w:rsid w:val="003B35A3"/>
    <w:rsid w:val="003B36FB"/>
    <w:rsid w:val="003B3835"/>
    <w:rsid w:val="003B3B3B"/>
    <w:rsid w:val="003B44A3"/>
    <w:rsid w:val="003B45D5"/>
    <w:rsid w:val="003B4DAC"/>
    <w:rsid w:val="003B4DD7"/>
    <w:rsid w:val="003B4E47"/>
    <w:rsid w:val="003B7A08"/>
    <w:rsid w:val="003B7FA1"/>
    <w:rsid w:val="003C13C7"/>
    <w:rsid w:val="003C2F52"/>
    <w:rsid w:val="003C2F88"/>
    <w:rsid w:val="003C4A71"/>
    <w:rsid w:val="003C4B34"/>
    <w:rsid w:val="003C55D5"/>
    <w:rsid w:val="003C599A"/>
    <w:rsid w:val="003C607D"/>
    <w:rsid w:val="003C6429"/>
    <w:rsid w:val="003C65C6"/>
    <w:rsid w:val="003C7191"/>
    <w:rsid w:val="003C7374"/>
    <w:rsid w:val="003C7672"/>
    <w:rsid w:val="003C7AD9"/>
    <w:rsid w:val="003C7B4A"/>
    <w:rsid w:val="003D0A98"/>
    <w:rsid w:val="003D0FE6"/>
    <w:rsid w:val="003D199D"/>
    <w:rsid w:val="003D19AA"/>
    <w:rsid w:val="003D20FF"/>
    <w:rsid w:val="003D22EB"/>
    <w:rsid w:val="003D24C7"/>
    <w:rsid w:val="003D2F35"/>
    <w:rsid w:val="003D35BB"/>
    <w:rsid w:val="003D41E3"/>
    <w:rsid w:val="003D523E"/>
    <w:rsid w:val="003D56BC"/>
    <w:rsid w:val="003D67D3"/>
    <w:rsid w:val="003D6BB2"/>
    <w:rsid w:val="003D7DF5"/>
    <w:rsid w:val="003E07E9"/>
    <w:rsid w:val="003E09BC"/>
    <w:rsid w:val="003E11F7"/>
    <w:rsid w:val="003E211B"/>
    <w:rsid w:val="003E227E"/>
    <w:rsid w:val="003E2310"/>
    <w:rsid w:val="003E2A29"/>
    <w:rsid w:val="003E3537"/>
    <w:rsid w:val="003E3813"/>
    <w:rsid w:val="003E4563"/>
    <w:rsid w:val="003E4C9F"/>
    <w:rsid w:val="003E4FA5"/>
    <w:rsid w:val="003E5B15"/>
    <w:rsid w:val="003E5C01"/>
    <w:rsid w:val="003E61D5"/>
    <w:rsid w:val="003E7AF2"/>
    <w:rsid w:val="003E7BEA"/>
    <w:rsid w:val="003F09A7"/>
    <w:rsid w:val="003F0B64"/>
    <w:rsid w:val="003F0F8E"/>
    <w:rsid w:val="003F174E"/>
    <w:rsid w:val="003F1CE7"/>
    <w:rsid w:val="003F2B0D"/>
    <w:rsid w:val="003F2C52"/>
    <w:rsid w:val="003F3035"/>
    <w:rsid w:val="003F31F7"/>
    <w:rsid w:val="003F467E"/>
    <w:rsid w:val="003F4E6E"/>
    <w:rsid w:val="003F54B0"/>
    <w:rsid w:val="003F64D4"/>
    <w:rsid w:val="003F683B"/>
    <w:rsid w:val="003F68D7"/>
    <w:rsid w:val="0040009F"/>
    <w:rsid w:val="004012BD"/>
    <w:rsid w:val="00401D14"/>
    <w:rsid w:val="00401DD6"/>
    <w:rsid w:val="00404CCF"/>
    <w:rsid w:val="004052C5"/>
    <w:rsid w:val="004057DE"/>
    <w:rsid w:val="00406515"/>
    <w:rsid w:val="00407666"/>
    <w:rsid w:val="004076A3"/>
    <w:rsid w:val="00410BBA"/>
    <w:rsid w:val="00411B15"/>
    <w:rsid w:val="00411D2D"/>
    <w:rsid w:val="0041258B"/>
    <w:rsid w:val="004133CA"/>
    <w:rsid w:val="004137F2"/>
    <w:rsid w:val="00415108"/>
    <w:rsid w:val="00416844"/>
    <w:rsid w:val="0041771E"/>
    <w:rsid w:val="00417762"/>
    <w:rsid w:val="00417927"/>
    <w:rsid w:val="00420479"/>
    <w:rsid w:val="00421585"/>
    <w:rsid w:val="00422485"/>
    <w:rsid w:val="00422DA9"/>
    <w:rsid w:val="004231E3"/>
    <w:rsid w:val="00423678"/>
    <w:rsid w:val="0042367A"/>
    <w:rsid w:val="00423DF4"/>
    <w:rsid w:val="00424157"/>
    <w:rsid w:val="00424A94"/>
    <w:rsid w:val="00424E5C"/>
    <w:rsid w:val="004253C3"/>
    <w:rsid w:val="004259F3"/>
    <w:rsid w:val="00426427"/>
    <w:rsid w:val="00426B43"/>
    <w:rsid w:val="00426E92"/>
    <w:rsid w:val="004310A2"/>
    <w:rsid w:val="004315B0"/>
    <w:rsid w:val="00431A8F"/>
    <w:rsid w:val="00431C51"/>
    <w:rsid w:val="00431ED3"/>
    <w:rsid w:val="004320FF"/>
    <w:rsid w:val="0043382D"/>
    <w:rsid w:val="00433B50"/>
    <w:rsid w:val="004342BA"/>
    <w:rsid w:val="0043473E"/>
    <w:rsid w:val="00434CC1"/>
    <w:rsid w:val="00435A68"/>
    <w:rsid w:val="00435EE3"/>
    <w:rsid w:val="00435F2D"/>
    <w:rsid w:val="004362B2"/>
    <w:rsid w:val="004370DE"/>
    <w:rsid w:val="00437438"/>
    <w:rsid w:val="004377DF"/>
    <w:rsid w:val="004379ED"/>
    <w:rsid w:val="0044017A"/>
    <w:rsid w:val="0044053B"/>
    <w:rsid w:val="004409AD"/>
    <w:rsid w:val="004414B3"/>
    <w:rsid w:val="00441837"/>
    <w:rsid w:val="004418CD"/>
    <w:rsid w:val="00443FFF"/>
    <w:rsid w:val="004444E8"/>
    <w:rsid w:val="00444651"/>
    <w:rsid w:val="004452B5"/>
    <w:rsid w:val="00445ACA"/>
    <w:rsid w:val="00445CED"/>
    <w:rsid w:val="00445F6A"/>
    <w:rsid w:val="00446780"/>
    <w:rsid w:val="00446EB5"/>
    <w:rsid w:val="00447E1C"/>
    <w:rsid w:val="004508B8"/>
    <w:rsid w:val="004524B1"/>
    <w:rsid w:val="0045284D"/>
    <w:rsid w:val="004532B4"/>
    <w:rsid w:val="0045332E"/>
    <w:rsid w:val="00454438"/>
    <w:rsid w:val="004548EC"/>
    <w:rsid w:val="0045507B"/>
    <w:rsid w:val="004559B6"/>
    <w:rsid w:val="00455C8F"/>
    <w:rsid w:val="00456088"/>
    <w:rsid w:val="004561DC"/>
    <w:rsid w:val="004571A8"/>
    <w:rsid w:val="004621E0"/>
    <w:rsid w:val="00463A16"/>
    <w:rsid w:val="0046430D"/>
    <w:rsid w:val="00464537"/>
    <w:rsid w:val="0046519A"/>
    <w:rsid w:val="00465A7B"/>
    <w:rsid w:val="00465F96"/>
    <w:rsid w:val="0046689E"/>
    <w:rsid w:val="0046753F"/>
    <w:rsid w:val="00467908"/>
    <w:rsid w:val="00467A68"/>
    <w:rsid w:val="00467B69"/>
    <w:rsid w:val="00467D95"/>
    <w:rsid w:val="00467FE4"/>
    <w:rsid w:val="004709A2"/>
    <w:rsid w:val="0047169B"/>
    <w:rsid w:val="0047188E"/>
    <w:rsid w:val="004719CD"/>
    <w:rsid w:val="00471D19"/>
    <w:rsid w:val="00472379"/>
    <w:rsid w:val="00472A07"/>
    <w:rsid w:val="00473107"/>
    <w:rsid w:val="00473972"/>
    <w:rsid w:val="00473D2C"/>
    <w:rsid w:val="004740BE"/>
    <w:rsid w:val="00474303"/>
    <w:rsid w:val="00474904"/>
    <w:rsid w:val="004749FB"/>
    <w:rsid w:val="0047587A"/>
    <w:rsid w:val="00477DEF"/>
    <w:rsid w:val="00481190"/>
    <w:rsid w:val="0048137D"/>
    <w:rsid w:val="0048183B"/>
    <w:rsid w:val="004826B7"/>
    <w:rsid w:val="004831C6"/>
    <w:rsid w:val="00483732"/>
    <w:rsid w:val="004857AE"/>
    <w:rsid w:val="00485C63"/>
    <w:rsid w:val="00485E44"/>
    <w:rsid w:val="004873C3"/>
    <w:rsid w:val="00487548"/>
    <w:rsid w:val="0048768E"/>
    <w:rsid w:val="00487BD1"/>
    <w:rsid w:val="00490094"/>
    <w:rsid w:val="00490818"/>
    <w:rsid w:val="0049110B"/>
    <w:rsid w:val="004914D3"/>
    <w:rsid w:val="00491DA0"/>
    <w:rsid w:val="004920D0"/>
    <w:rsid w:val="00492397"/>
    <w:rsid w:val="00493408"/>
    <w:rsid w:val="004935A4"/>
    <w:rsid w:val="00493630"/>
    <w:rsid w:val="00493B07"/>
    <w:rsid w:val="00494270"/>
    <w:rsid w:val="004942EE"/>
    <w:rsid w:val="0049569D"/>
    <w:rsid w:val="00495871"/>
    <w:rsid w:val="00495B98"/>
    <w:rsid w:val="00495C28"/>
    <w:rsid w:val="00495E34"/>
    <w:rsid w:val="004961F9"/>
    <w:rsid w:val="00496232"/>
    <w:rsid w:val="0049661A"/>
    <w:rsid w:val="00496A6D"/>
    <w:rsid w:val="00497648"/>
    <w:rsid w:val="004979DC"/>
    <w:rsid w:val="00497BF8"/>
    <w:rsid w:val="004A1CC1"/>
    <w:rsid w:val="004A1CD6"/>
    <w:rsid w:val="004A237A"/>
    <w:rsid w:val="004A3006"/>
    <w:rsid w:val="004A3134"/>
    <w:rsid w:val="004A3CD0"/>
    <w:rsid w:val="004A5249"/>
    <w:rsid w:val="004A58A1"/>
    <w:rsid w:val="004A76CA"/>
    <w:rsid w:val="004A78F9"/>
    <w:rsid w:val="004B03AC"/>
    <w:rsid w:val="004B098D"/>
    <w:rsid w:val="004B18B8"/>
    <w:rsid w:val="004B1A3D"/>
    <w:rsid w:val="004B1C6D"/>
    <w:rsid w:val="004B1C78"/>
    <w:rsid w:val="004B258D"/>
    <w:rsid w:val="004B2641"/>
    <w:rsid w:val="004B265A"/>
    <w:rsid w:val="004B291E"/>
    <w:rsid w:val="004B29B7"/>
    <w:rsid w:val="004B2FD7"/>
    <w:rsid w:val="004B3477"/>
    <w:rsid w:val="004B3D91"/>
    <w:rsid w:val="004B47C1"/>
    <w:rsid w:val="004B47FE"/>
    <w:rsid w:val="004B4A78"/>
    <w:rsid w:val="004B7028"/>
    <w:rsid w:val="004B7569"/>
    <w:rsid w:val="004B7B64"/>
    <w:rsid w:val="004B7BD7"/>
    <w:rsid w:val="004C04C0"/>
    <w:rsid w:val="004C090D"/>
    <w:rsid w:val="004C0BBB"/>
    <w:rsid w:val="004C1F84"/>
    <w:rsid w:val="004C25D4"/>
    <w:rsid w:val="004C2CAB"/>
    <w:rsid w:val="004C37D8"/>
    <w:rsid w:val="004C38DC"/>
    <w:rsid w:val="004C5C45"/>
    <w:rsid w:val="004C60F5"/>
    <w:rsid w:val="004C63A4"/>
    <w:rsid w:val="004D0CB9"/>
    <w:rsid w:val="004D106D"/>
    <w:rsid w:val="004D1140"/>
    <w:rsid w:val="004D1314"/>
    <w:rsid w:val="004D1585"/>
    <w:rsid w:val="004D1A5F"/>
    <w:rsid w:val="004D2483"/>
    <w:rsid w:val="004D3F08"/>
    <w:rsid w:val="004D47F9"/>
    <w:rsid w:val="004D4BCB"/>
    <w:rsid w:val="004D593C"/>
    <w:rsid w:val="004E0122"/>
    <w:rsid w:val="004E04F1"/>
    <w:rsid w:val="004E1E4A"/>
    <w:rsid w:val="004E2951"/>
    <w:rsid w:val="004E2BAE"/>
    <w:rsid w:val="004E389C"/>
    <w:rsid w:val="004E3FF0"/>
    <w:rsid w:val="004E40E6"/>
    <w:rsid w:val="004E49D8"/>
    <w:rsid w:val="004E5D8D"/>
    <w:rsid w:val="004E6E57"/>
    <w:rsid w:val="004E741F"/>
    <w:rsid w:val="004F0886"/>
    <w:rsid w:val="004F0F48"/>
    <w:rsid w:val="004F1182"/>
    <w:rsid w:val="004F1587"/>
    <w:rsid w:val="004F1589"/>
    <w:rsid w:val="004F1627"/>
    <w:rsid w:val="004F1AF2"/>
    <w:rsid w:val="004F265A"/>
    <w:rsid w:val="004F27BD"/>
    <w:rsid w:val="004F2A2D"/>
    <w:rsid w:val="004F3BE2"/>
    <w:rsid w:val="004F546B"/>
    <w:rsid w:val="004F5FA8"/>
    <w:rsid w:val="004F6435"/>
    <w:rsid w:val="004F6DFC"/>
    <w:rsid w:val="004F7569"/>
    <w:rsid w:val="0050011A"/>
    <w:rsid w:val="005004CC"/>
    <w:rsid w:val="005007EA"/>
    <w:rsid w:val="00500E73"/>
    <w:rsid w:val="00501918"/>
    <w:rsid w:val="005022CE"/>
    <w:rsid w:val="00502C14"/>
    <w:rsid w:val="005033E9"/>
    <w:rsid w:val="005034DE"/>
    <w:rsid w:val="00503B9D"/>
    <w:rsid w:val="00503FD3"/>
    <w:rsid w:val="00504541"/>
    <w:rsid w:val="00505D82"/>
    <w:rsid w:val="00505DE6"/>
    <w:rsid w:val="00506879"/>
    <w:rsid w:val="005069B4"/>
    <w:rsid w:val="00506A90"/>
    <w:rsid w:val="0050703C"/>
    <w:rsid w:val="0051003C"/>
    <w:rsid w:val="005106CF"/>
    <w:rsid w:val="00510C89"/>
    <w:rsid w:val="005119B0"/>
    <w:rsid w:val="00511CAB"/>
    <w:rsid w:val="005121FF"/>
    <w:rsid w:val="0051285C"/>
    <w:rsid w:val="0051375B"/>
    <w:rsid w:val="00514972"/>
    <w:rsid w:val="00514AB3"/>
    <w:rsid w:val="0051543E"/>
    <w:rsid w:val="005154BF"/>
    <w:rsid w:val="005156F6"/>
    <w:rsid w:val="00515CCA"/>
    <w:rsid w:val="00515E2B"/>
    <w:rsid w:val="00516536"/>
    <w:rsid w:val="005165A7"/>
    <w:rsid w:val="0051677B"/>
    <w:rsid w:val="0051695C"/>
    <w:rsid w:val="00516BBC"/>
    <w:rsid w:val="005173B0"/>
    <w:rsid w:val="005208C1"/>
    <w:rsid w:val="005209BD"/>
    <w:rsid w:val="005217C2"/>
    <w:rsid w:val="00521D86"/>
    <w:rsid w:val="00521D8D"/>
    <w:rsid w:val="00523052"/>
    <w:rsid w:val="00523A68"/>
    <w:rsid w:val="00523A89"/>
    <w:rsid w:val="005261A7"/>
    <w:rsid w:val="00527802"/>
    <w:rsid w:val="00527D25"/>
    <w:rsid w:val="00530507"/>
    <w:rsid w:val="005305CC"/>
    <w:rsid w:val="00530656"/>
    <w:rsid w:val="00530B7A"/>
    <w:rsid w:val="00530E50"/>
    <w:rsid w:val="00531B8D"/>
    <w:rsid w:val="00531EA6"/>
    <w:rsid w:val="00532164"/>
    <w:rsid w:val="005322E2"/>
    <w:rsid w:val="005325BC"/>
    <w:rsid w:val="005325DC"/>
    <w:rsid w:val="0053269D"/>
    <w:rsid w:val="00532C94"/>
    <w:rsid w:val="0053310E"/>
    <w:rsid w:val="00533271"/>
    <w:rsid w:val="00533572"/>
    <w:rsid w:val="00533B40"/>
    <w:rsid w:val="00533E4A"/>
    <w:rsid w:val="00534AD9"/>
    <w:rsid w:val="00535072"/>
    <w:rsid w:val="005357FF"/>
    <w:rsid w:val="00535DB5"/>
    <w:rsid w:val="005370BC"/>
    <w:rsid w:val="00542162"/>
    <w:rsid w:val="005426D0"/>
    <w:rsid w:val="00542E68"/>
    <w:rsid w:val="0054305E"/>
    <w:rsid w:val="00543EB6"/>
    <w:rsid w:val="00544342"/>
    <w:rsid w:val="005449D2"/>
    <w:rsid w:val="00544C6B"/>
    <w:rsid w:val="00545454"/>
    <w:rsid w:val="005455C5"/>
    <w:rsid w:val="005457D9"/>
    <w:rsid w:val="00545944"/>
    <w:rsid w:val="005459CF"/>
    <w:rsid w:val="00545C0B"/>
    <w:rsid w:val="00545EC4"/>
    <w:rsid w:val="005468D7"/>
    <w:rsid w:val="005473BB"/>
    <w:rsid w:val="00547D08"/>
    <w:rsid w:val="00550C20"/>
    <w:rsid w:val="005513CA"/>
    <w:rsid w:val="005517F2"/>
    <w:rsid w:val="00551A78"/>
    <w:rsid w:val="00551BD6"/>
    <w:rsid w:val="0055214B"/>
    <w:rsid w:val="0055236A"/>
    <w:rsid w:val="0055276B"/>
    <w:rsid w:val="00554D5F"/>
    <w:rsid w:val="00555942"/>
    <w:rsid w:val="00555BBD"/>
    <w:rsid w:val="00556D3E"/>
    <w:rsid w:val="005573DC"/>
    <w:rsid w:val="00557A86"/>
    <w:rsid w:val="005601FB"/>
    <w:rsid w:val="005603D7"/>
    <w:rsid w:val="0056042A"/>
    <w:rsid w:val="00560513"/>
    <w:rsid w:val="00560A53"/>
    <w:rsid w:val="00561C98"/>
    <w:rsid w:val="0056279C"/>
    <w:rsid w:val="005631D8"/>
    <w:rsid w:val="005637A7"/>
    <w:rsid w:val="00563949"/>
    <w:rsid w:val="00564405"/>
    <w:rsid w:val="0056500E"/>
    <w:rsid w:val="005661F6"/>
    <w:rsid w:val="0056744B"/>
    <w:rsid w:val="00570723"/>
    <w:rsid w:val="00570A3C"/>
    <w:rsid w:val="00570AA1"/>
    <w:rsid w:val="0057132D"/>
    <w:rsid w:val="00572170"/>
    <w:rsid w:val="00572FD7"/>
    <w:rsid w:val="005737AA"/>
    <w:rsid w:val="00573ED0"/>
    <w:rsid w:val="00574960"/>
    <w:rsid w:val="00574DFA"/>
    <w:rsid w:val="00575F47"/>
    <w:rsid w:val="0057658C"/>
    <w:rsid w:val="00576B0D"/>
    <w:rsid w:val="00576CF3"/>
    <w:rsid w:val="00576DF7"/>
    <w:rsid w:val="00577B70"/>
    <w:rsid w:val="00580CF1"/>
    <w:rsid w:val="00582E13"/>
    <w:rsid w:val="005832C8"/>
    <w:rsid w:val="0058346F"/>
    <w:rsid w:val="00583C9F"/>
    <w:rsid w:val="005843E1"/>
    <w:rsid w:val="00584DD3"/>
    <w:rsid w:val="005856C4"/>
    <w:rsid w:val="005862B4"/>
    <w:rsid w:val="00586FE9"/>
    <w:rsid w:val="00587085"/>
    <w:rsid w:val="00587497"/>
    <w:rsid w:val="005875D6"/>
    <w:rsid w:val="005879A2"/>
    <w:rsid w:val="00587ACE"/>
    <w:rsid w:val="005911E9"/>
    <w:rsid w:val="005914A8"/>
    <w:rsid w:val="00591C41"/>
    <w:rsid w:val="00592558"/>
    <w:rsid w:val="0059368A"/>
    <w:rsid w:val="005938B9"/>
    <w:rsid w:val="00594A55"/>
    <w:rsid w:val="005954BC"/>
    <w:rsid w:val="00595AC3"/>
    <w:rsid w:val="00595E69"/>
    <w:rsid w:val="00596376"/>
    <w:rsid w:val="0059696B"/>
    <w:rsid w:val="00597157"/>
    <w:rsid w:val="00597695"/>
    <w:rsid w:val="005A062E"/>
    <w:rsid w:val="005A0A17"/>
    <w:rsid w:val="005A0C2A"/>
    <w:rsid w:val="005A1450"/>
    <w:rsid w:val="005A171C"/>
    <w:rsid w:val="005A1B1F"/>
    <w:rsid w:val="005A2750"/>
    <w:rsid w:val="005A36DC"/>
    <w:rsid w:val="005A3C4D"/>
    <w:rsid w:val="005A4A21"/>
    <w:rsid w:val="005A6721"/>
    <w:rsid w:val="005A754A"/>
    <w:rsid w:val="005A7943"/>
    <w:rsid w:val="005A7B0B"/>
    <w:rsid w:val="005B011D"/>
    <w:rsid w:val="005B0147"/>
    <w:rsid w:val="005B0BCC"/>
    <w:rsid w:val="005B18B8"/>
    <w:rsid w:val="005B348D"/>
    <w:rsid w:val="005B35FF"/>
    <w:rsid w:val="005B3B9D"/>
    <w:rsid w:val="005B3E20"/>
    <w:rsid w:val="005B4D0C"/>
    <w:rsid w:val="005B4D36"/>
    <w:rsid w:val="005B4D8A"/>
    <w:rsid w:val="005B4E20"/>
    <w:rsid w:val="005B4E8F"/>
    <w:rsid w:val="005B535A"/>
    <w:rsid w:val="005B59B5"/>
    <w:rsid w:val="005B6358"/>
    <w:rsid w:val="005B6A16"/>
    <w:rsid w:val="005B7EF6"/>
    <w:rsid w:val="005C0551"/>
    <w:rsid w:val="005C0F2F"/>
    <w:rsid w:val="005C0F43"/>
    <w:rsid w:val="005C2F51"/>
    <w:rsid w:val="005C30B4"/>
    <w:rsid w:val="005C3251"/>
    <w:rsid w:val="005C3619"/>
    <w:rsid w:val="005C3CE2"/>
    <w:rsid w:val="005C6491"/>
    <w:rsid w:val="005C6CF7"/>
    <w:rsid w:val="005C7031"/>
    <w:rsid w:val="005C722A"/>
    <w:rsid w:val="005D0F13"/>
    <w:rsid w:val="005D17D8"/>
    <w:rsid w:val="005D1B50"/>
    <w:rsid w:val="005D1CEF"/>
    <w:rsid w:val="005D1DC2"/>
    <w:rsid w:val="005D1E74"/>
    <w:rsid w:val="005D21C2"/>
    <w:rsid w:val="005D248C"/>
    <w:rsid w:val="005D2743"/>
    <w:rsid w:val="005D2AAD"/>
    <w:rsid w:val="005D3A5D"/>
    <w:rsid w:val="005D4403"/>
    <w:rsid w:val="005D47A3"/>
    <w:rsid w:val="005D4B85"/>
    <w:rsid w:val="005D4E17"/>
    <w:rsid w:val="005D516B"/>
    <w:rsid w:val="005D559A"/>
    <w:rsid w:val="005D574C"/>
    <w:rsid w:val="005D7A58"/>
    <w:rsid w:val="005D7C10"/>
    <w:rsid w:val="005E0502"/>
    <w:rsid w:val="005E0695"/>
    <w:rsid w:val="005E32DB"/>
    <w:rsid w:val="005E39E8"/>
    <w:rsid w:val="005E4481"/>
    <w:rsid w:val="005E4AC5"/>
    <w:rsid w:val="005E5315"/>
    <w:rsid w:val="005E5BAA"/>
    <w:rsid w:val="005E5BC3"/>
    <w:rsid w:val="005E6348"/>
    <w:rsid w:val="005E6F34"/>
    <w:rsid w:val="005E7289"/>
    <w:rsid w:val="005E7846"/>
    <w:rsid w:val="005E7966"/>
    <w:rsid w:val="005F022D"/>
    <w:rsid w:val="005F0DF0"/>
    <w:rsid w:val="005F0FC4"/>
    <w:rsid w:val="005F1610"/>
    <w:rsid w:val="005F1714"/>
    <w:rsid w:val="005F180F"/>
    <w:rsid w:val="005F1FBE"/>
    <w:rsid w:val="005F225A"/>
    <w:rsid w:val="005F27FF"/>
    <w:rsid w:val="005F392B"/>
    <w:rsid w:val="005F42B5"/>
    <w:rsid w:val="005F53D2"/>
    <w:rsid w:val="005F58BF"/>
    <w:rsid w:val="005F728E"/>
    <w:rsid w:val="005F7603"/>
    <w:rsid w:val="005F7E9C"/>
    <w:rsid w:val="006016B4"/>
    <w:rsid w:val="00602294"/>
    <w:rsid w:val="00602900"/>
    <w:rsid w:val="00602EE4"/>
    <w:rsid w:val="00603751"/>
    <w:rsid w:val="0060402D"/>
    <w:rsid w:val="00604F25"/>
    <w:rsid w:val="00604F45"/>
    <w:rsid w:val="0060539A"/>
    <w:rsid w:val="00605AAA"/>
    <w:rsid w:val="0060728C"/>
    <w:rsid w:val="00607510"/>
    <w:rsid w:val="006104CE"/>
    <w:rsid w:val="0061069A"/>
    <w:rsid w:val="00610992"/>
    <w:rsid w:val="0061109B"/>
    <w:rsid w:val="0061163B"/>
    <w:rsid w:val="00611972"/>
    <w:rsid w:val="00611D33"/>
    <w:rsid w:val="00611ED1"/>
    <w:rsid w:val="00612C53"/>
    <w:rsid w:val="00612CAB"/>
    <w:rsid w:val="00612F67"/>
    <w:rsid w:val="00613757"/>
    <w:rsid w:val="00613EEA"/>
    <w:rsid w:val="006151AB"/>
    <w:rsid w:val="006159CD"/>
    <w:rsid w:val="00617209"/>
    <w:rsid w:val="00617661"/>
    <w:rsid w:val="00621D82"/>
    <w:rsid w:val="00622353"/>
    <w:rsid w:val="00622494"/>
    <w:rsid w:val="00622F9F"/>
    <w:rsid w:val="00623035"/>
    <w:rsid w:val="0062399A"/>
    <w:rsid w:val="00623B88"/>
    <w:rsid w:val="00623D04"/>
    <w:rsid w:val="00624650"/>
    <w:rsid w:val="00624B4C"/>
    <w:rsid w:val="00625A77"/>
    <w:rsid w:val="00626D80"/>
    <w:rsid w:val="0062715F"/>
    <w:rsid w:val="006271F3"/>
    <w:rsid w:val="006273C3"/>
    <w:rsid w:val="00627FE6"/>
    <w:rsid w:val="00630656"/>
    <w:rsid w:val="00631AFA"/>
    <w:rsid w:val="00632884"/>
    <w:rsid w:val="00632CBA"/>
    <w:rsid w:val="006337D3"/>
    <w:rsid w:val="00633A63"/>
    <w:rsid w:val="00633DCC"/>
    <w:rsid w:val="00635280"/>
    <w:rsid w:val="00635B3A"/>
    <w:rsid w:val="00636E00"/>
    <w:rsid w:val="006375C2"/>
    <w:rsid w:val="006402BD"/>
    <w:rsid w:val="006406EC"/>
    <w:rsid w:val="00641C04"/>
    <w:rsid w:val="00641F82"/>
    <w:rsid w:val="00642BEA"/>
    <w:rsid w:val="00642CC9"/>
    <w:rsid w:val="00642D24"/>
    <w:rsid w:val="00643F11"/>
    <w:rsid w:val="006446B5"/>
    <w:rsid w:val="00644710"/>
    <w:rsid w:val="00644BC2"/>
    <w:rsid w:val="00645AAD"/>
    <w:rsid w:val="0064669B"/>
    <w:rsid w:val="00647362"/>
    <w:rsid w:val="006473D7"/>
    <w:rsid w:val="006473F0"/>
    <w:rsid w:val="00650113"/>
    <w:rsid w:val="00651796"/>
    <w:rsid w:val="00651D31"/>
    <w:rsid w:val="00652B27"/>
    <w:rsid w:val="00652D10"/>
    <w:rsid w:val="00653134"/>
    <w:rsid w:val="00653289"/>
    <w:rsid w:val="0065369A"/>
    <w:rsid w:val="00653760"/>
    <w:rsid w:val="00653D36"/>
    <w:rsid w:val="00653DB4"/>
    <w:rsid w:val="00654DC9"/>
    <w:rsid w:val="00656522"/>
    <w:rsid w:val="00657769"/>
    <w:rsid w:val="00661586"/>
    <w:rsid w:val="0066167D"/>
    <w:rsid w:val="0066194C"/>
    <w:rsid w:val="00661CEF"/>
    <w:rsid w:val="0066291E"/>
    <w:rsid w:val="00662FAE"/>
    <w:rsid w:val="00662FC7"/>
    <w:rsid w:val="006630F0"/>
    <w:rsid w:val="00663143"/>
    <w:rsid w:val="006635E1"/>
    <w:rsid w:val="00663EA8"/>
    <w:rsid w:val="00664219"/>
    <w:rsid w:val="0066632B"/>
    <w:rsid w:val="00666D85"/>
    <w:rsid w:val="00666E7E"/>
    <w:rsid w:val="00667695"/>
    <w:rsid w:val="0066784D"/>
    <w:rsid w:val="00667F0D"/>
    <w:rsid w:val="006700B9"/>
    <w:rsid w:val="00670314"/>
    <w:rsid w:val="006703A5"/>
    <w:rsid w:val="00671450"/>
    <w:rsid w:val="00671C40"/>
    <w:rsid w:val="00671FC4"/>
    <w:rsid w:val="00672047"/>
    <w:rsid w:val="00672F2F"/>
    <w:rsid w:val="00673327"/>
    <w:rsid w:val="0067408C"/>
    <w:rsid w:val="00676B6E"/>
    <w:rsid w:val="0067720C"/>
    <w:rsid w:val="00677621"/>
    <w:rsid w:val="006778EE"/>
    <w:rsid w:val="00680102"/>
    <w:rsid w:val="00680EED"/>
    <w:rsid w:val="00680F7A"/>
    <w:rsid w:val="00682178"/>
    <w:rsid w:val="00682521"/>
    <w:rsid w:val="0068293A"/>
    <w:rsid w:val="00682B83"/>
    <w:rsid w:val="00683023"/>
    <w:rsid w:val="0068313D"/>
    <w:rsid w:val="00684D3C"/>
    <w:rsid w:val="00684D51"/>
    <w:rsid w:val="00687712"/>
    <w:rsid w:val="00692A6F"/>
    <w:rsid w:val="00692AC8"/>
    <w:rsid w:val="00692E02"/>
    <w:rsid w:val="00693DE7"/>
    <w:rsid w:val="0069428D"/>
    <w:rsid w:val="00695136"/>
    <w:rsid w:val="006955F0"/>
    <w:rsid w:val="00695D37"/>
    <w:rsid w:val="00696228"/>
    <w:rsid w:val="00696853"/>
    <w:rsid w:val="006979A6"/>
    <w:rsid w:val="006A02BB"/>
    <w:rsid w:val="006A033E"/>
    <w:rsid w:val="006A057E"/>
    <w:rsid w:val="006A0A9B"/>
    <w:rsid w:val="006A14E7"/>
    <w:rsid w:val="006A1D34"/>
    <w:rsid w:val="006A1DDA"/>
    <w:rsid w:val="006A2DA0"/>
    <w:rsid w:val="006A3C01"/>
    <w:rsid w:val="006A3C35"/>
    <w:rsid w:val="006A42CF"/>
    <w:rsid w:val="006A4EB7"/>
    <w:rsid w:val="006A6552"/>
    <w:rsid w:val="006A7045"/>
    <w:rsid w:val="006B0430"/>
    <w:rsid w:val="006B07C6"/>
    <w:rsid w:val="006B3B25"/>
    <w:rsid w:val="006B3B62"/>
    <w:rsid w:val="006B5C84"/>
    <w:rsid w:val="006B6E6C"/>
    <w:rsid w:val="006B7836"/>
    <w:rsid w:val="006C10F3"/>
    <w:rsid w:val="006C19F0"/>
    <w:rsid w:val="006C22B6"/>
    <w:rsid w:val="006C241F"/>
    <w:rsid w:val="006C3F9A"/>
    <w:rsid w:val="006C4998"/>
    <w:rsid w:val="006C5ADE"/>
    <w:rsid w:val="006C62DC"/>
    <w:rsid w:val="006C638E"/>
    <w:rsid w:val="006C67DF"/>
    <w:rsid w:val="006C6BF5"/>
    <w:rsid w:val="006C70E8"/>
    <w:rsid w:val="006C70FC"/>
    <w:rsid w:val="006D04B2"/>
    <w:rsid w:val="006D0968"/>
    <w:rsid w:val="006D1213"/>
    <w:rsid w:val="006D1772"/>
    <w:rsid w:val="006D421A"/>
    <w:rsid w:val="006D4962"/>
    <w:rsid w:val="006D60AB"/>
    <w:rsid w:val="006D6854"/>
    <w:rsid w:val="006D6D7F"/>
    <w:rsid w:val="006D6D9D"/>
    <w:rsid w:val="006D7BFA"/>
    <w:rsid w:val="006D7D08"/>
    <w:rsid w:val="006E0529"/>
    <w:rsid w:val="006E0751"/>
    <w:rsid w:val="006E07CA"/>
    <w:rsid w:val="006E0DDE"/>
    <w:rsid w:val="006E1098"/>
    <w:rsid w:val="006E1547"/>
    <w:rsid w:val="006E16BA"/>
    <w:rsid w:val="006E1FDB"/>
    <w:rsid w:val="006E30A5"/>
    <w:rsid w:val="006E5BE9"/>
    <w:rsid w:val="006E6104"/>
    <w:rsid w:val="006E6516"/>
    <w:rsid w:val="006F0646"/>
    <w:rsid w:val="006F08A3"/>
    <w:rsid w:val="006F0A75"/>
    <w:rsid w:val="006F1152"/>
    <w:rsid w:val="006F1194"/>
    <w:rsid w:val="006F12F8"/>
    <w:rsid w:val="006F14B3"/>
    <w:rsid w:val="006F1CD3"/>
    <w:rsid w:val="006F1DEA"/>
    <w:rsid w:val="006F2430"/>
    <w:rsid w:val="006F2433"/>
    <w:rsid w:val="006F2ADD"/>
    <w:rsid w:val="006F3366"/>
    <w:rsid w:val="006F3B55"/>
    <w:rsid w:val="006F3C26"/>
    <w:rsid w:val="006F402D"/>
    <w:rsid w:val="006F60CF"/>
    <w:rsid w:val="006F69FF"/>
    <w:rsid w:val="006F7608"/>
    <w:rsid w:val="006F799F"/>
    <w:rsid w:val="006F79B8"/>
    <w:rsid w:val="006F7E3F"/>
    <w:rsid w:val="007001E6"/>
    <w:rsid w:val="0070025F"/>
    <w:rsid w:val="007017CD"/>
    <w:rsid w:val="00702EAB"/>
    <w:rsid w:val="00702ED3"/>
    <w:rsid w:val="00702F2D"/>
    <w:rsid w:val="007032BD"/>
    <w:rsid w:val="0070382A"/>
    <w:rsid w:val="00703BB4"/>
    <w:rsid w:val="00704753"/>
    <w:rsid w:val="007052A9"/>
    <w:rsid w:val="00705AAB"/>
    <w:rsid w:val="00705D39"/>
    <w:rsid w:val="007061A4"/>
    <w:rsid w:val="007061A5"/>
    <w:rsid w:val="00706833"/>
    <w:rsid w:val="00706D60"/>
    <w:rsid w:val="00707A0C"/>
    <w:rsid w:val="00707D5B"/>
    <w:rsid w:val="00710063"/>
    <w:rsid w:val="007108F3"/>
    <w:rsid w:val="00710F68"/>
    <w:rsid w:val="00711385"/>
    <w:rsid w:val="00712780"/>
    <w:rsid w:val="00713EC5"/>
    <w:rsid w:val="0071479F"/>
    <w:rsid w:val="00714E51"/>
    <w:rsid w:val="0071589B"/>
    <w:rsid w:val="007163B7"/>
    <w:rsid w:val="00716F96"/>
    <w:rsid w:val="007174B6"/>
    <w:rsid w:val="00717FA1"/>
    <w:rsid w:val="0072017D"/>
    <w:rsid w:val="007207B8"/>
    <w:rsid w:val="00720EA4"/>
    <w:rsid w:val="007218CB"/>
    <w:rsid w:val="00721BEE"/>
    <w:rsid w:val="00721F6E"/>
    <w:rsid w:val="0072395E"/>
    <w:rsid w:val="00724783"/>
    <w:rsid w:val="007256E6"/>
    <w:rsid w:val="0072571A"/>
    <w:rsid w:val="0072656D"/>
    <w:rsid w:val="007266C8"/>
    <w:rsid w:val="007267EE"/>
    <w:rsid w:val="00726F36"/>
    <w:rsid w:val="00727A80"/>
    <w:rsid w:val="0073128F"/>
    <w:rsid w:val="0073146A"/>
    <w:rsid w:val="00731600"/>
    <w:rsid w:val="007318F9"/>
    <w:rsid w:val="00732990"/>
    <w:rsid w:val="00734070"/>
    <w:rsid w:val="00734C00"/>
    <w:rsid w:val="00734F75"/>
    <w:rsid w:val="00735D08"/>
    <w:rsid w:val="007362E1"/>
    <w:rsid w:val="00736549"/>
    <w:rsid w:val="0073707F"/>
    <w:rsid w:val="00737744"/>
    <w:rsid w:val="00740630"/>
    <w:rsid w:val="007413AD"/>
    <w:rsid w:val="00741C47"/>
    <w:rsid w:val="007420D5"/>
    <w:rsid w:val="007429AA"/>
    <w:rsid w:val="007437E0"/>
    <w:rsid w:val="00743B38"/>
    <w:rsid w:val="00744532"/>
    <w:rsid w:val="007465BB"/>
    <w:rsid w:val="00747102"/>
    <w:rsid w:val="00747BF0"/>
    <w:rsid w:val="00750843"/>
    <w:rsid w:val="00750D49"/>
    <w:rsid w:val="00751D22"/>
    <w:rsid w:val="00752D1A"/>
    <w:rsid w:val="007531E1"/>
    <w:rsid w:val="00753425"/>
    <w:rsid w:val="007534D9"/>
    <w:rsid w:val="00753D46"/>
    <w:rsid w:val="00753E3A"/>
    <w:rsid w:val="007545CC"/>
    <w:rsid w:val="00755EC3"/>
    <w:rsid w:val="0075622A"/>
    <w:rsid w:val="00756C19"/>
    <w:rsid w:val="00757980"/>
    <w:rsid w:val="007606ED"/>
    <w:rsid w:val="00760BEC"/>
    <w:rsid w:val="00760EED"/>
    <w:rsid w:val="00762085"/>
    <w:rsid w:val="00762278"/>
    <w:rsid w:val="00762BC7"/>
    <w:rsid w:val="00763027"/>
    <w:rsid w:val="0076360D"/>
    <w:rsid w:val="00763EC5"/>
    <w:rsid w:val="0076408A"/>
    <w:rsid w:val="00766349"/>
    <w:rsid w:val="007663F8"/>
    <w:rsid w:val="007666A6"/>
    <w:rsid w:val="00766C3A"/>
    <w:rsid w:val="00766DD8"/>
    <w:rsid w:val="00767287"/>
    <w:rsid w:val="00767345"/>
    <w:rsid w:val="007673FB"/>
    <w:rsid w:val="007675EC"/>
    <w:rsid w:val="00770BFF"/>
    <w:rsid w:val="00770FCF"/>
    <w:rsid w:val="00771D08"/>
    <w:rsid w:val="0077327A"/>
    <w:rsid w:val="00773D31"/>
    <w:rsid w:val="00773E42"/>
    <w:rsid w:val="007741DC"/>
    <w:rsid w:val="0077482D"/>
    <w:rsid w:val="00774B4A"/>
    <w:rsid w:val="00775A5F"/>
    <w:rsid w:val="00775BED"/>
    <w:rsid w:val="007762FF"/>
    <w:rsid w:val="0077679A"/>
    <w:rsid w:val="00777C7E"/>
    <w:rsid w:val="007800CF"/>
    <w:rsid w:val="007802E9"/>
    <w:rsid w:val="007806AE"/>
    <w:rsid w:val="007810FF"/>
    <w:rsid w:val="00781849"/>
    <w:rsid w:val="00782185"/>
    <w:rsid w:val="00782687"/>
    <w:rsid w:val="007845BB"/>
    <w:rsid w:val="00784625"/>
    <w:rsid w:val="0078472B"/>
    <w:rsid w:val="00786530"/>
    <w:rsid w:val="00787CC9"/>
    <w:rsid w:val="00787D66"/>
    <w:rsid w:val="00790E07"/>
    <w:rsid w:val="00791763"/>
    <w:rsid w:val="00791E28"/>
    <w:rsid w:val="00792368"/>
    <w:rsid w:val="0079286A"/>
    <w:rsid w:val="00792C00"/>
    <w:rsid w:val="0079393A"/>
    <w:rsid w:val="00793C9D"/>
    <w:rsid w:val="0079452D"/>
    <w:rsid w:val="007947CD"/>
    <w:rsid w:val="00795B4E"/>
    <w:rsid w:val="00795F17"/>
    <w:rsid w:val="0079721C"/>
    <w:rsid w:val="00797F85"/>
    <w:rsid w:val="007A001E"/>
    <w:rsid w:val="007A02F1"/>
    <w:rsid w:val="007A0527"/>
    <w:rsid w:val="007A0E7F"/>
    <w:rsid w:val="007A10DD"/>
    <w:rsid w:val="007A1A29"/>
    <w:rsid w:val="007A1DCE"/>
    <w:rsid w:val="007A1E73"/>
    <w:rsid w:val="007A29E0"/>
    <w:rsid w:val="007A2FBC"/>
    <w:rsid w:val="007A354C"/>
    <w:rsid w:val="007A44CE"/>
    <w:rsid w:val="007A4634"/>
    <w:rsid w:val="007A4673"/>
    <w:rsid w:val="007A4D6B"/>
    <w:rsid w:val="007A5325"/>
    <w:rsid w:val="007A68D4"/>
    <w:rsid w:val="007A6B21"/>
    <w:rsid w:val="007A772D"/>
    <w:rsid w:val="007A7D10"/>
    <w:rsid w:val="007B0418"/>
    <w:rsid w:val="007B05E6"/>
    <w:rsid w:val="007B0954"/>
    <w:rsid w:val="007B12CE"/>
    <w:rsid w:val="007B19BD"/>
    <w:rsid w:val="007B1F7D"/>
    <w:rsid w:val="007B2328"/>
    <w:rsid w:val="007B28C5"/>
    <w:rsid w:val="007B2C90"/>
    <w:rsid w:val="007B2F6C"/>
    <w:rsid w:val="007B53A9"/>
    <w:rsid w:val="007B5585"/>
    <w:rsid w:val="007B57B2"/>
    <w:rsid w:val="007B5990"/>
    <w:rsid w:val="007B6ACD"/>
    <w:rsid w:val="007B782D"/>
    <w:rsid w:val="007B7926"/>
    <w:rsid w:val="007B7C87"/>
    <w:rsid w:val="007C027A"/>
    <w:rsid w:val="007C0288"/>
    <w:rsid w:val="007C085E"/>
    <w:rsid w:val="007C0902"/>
    <w:rsid w:val="007C0BFD"/>
    <w:rsid w:val="007C16B6"/>
    <w:rsid w:val="007C1837"/>
    <w:rsid w:val="007C18F2"/>
    <w:rsid w:val="007C3185"/>
    <w:rsid w:val="007C3590"/>
    <w:rsid w:val="007C3BB0"/>
    <w:rsid w:val="007C3DCF"/>
    <w:rsid w:val="007C4328"/>
    <w:rsid w:val="007C6926"/>
    <w:rsid w:val="007C6A41"/>
    <w:rsid w:val="007C6C33"/>
    <w:rsid w:val="007C7ECB"/>
    <w:rsid w:val="007D057A"/>
    <w:rsid w:val="007D08D7"/>
    <w:rsid w:val="007D2B49"/>
    <w:rsid w:val="007D2C18"/>
    <w:rsid w:val="007D2DBC"/>
    <w:rsid w:val="007D2EBF"/>
    <w:rsid w:val="007D3720"/>
    <w:rsid w:val="007D386D"/>
    <w:rsid w:val="007D3E90"/>
    <w:rsid w:val="007D63EC"/>
    <w:rsid w:val="007D65A5"/>
    <w:rsid w:val="007D686C"/>
    <w:rsid w:val="007D6BD6"/>
    <w:rsid w:val="007D6E85"/>
    <w:rsid w:val="007D72A8"/>
    <w:rsid w:val="007D763E"/>
    <w:rsid w:val="007E0023"/>
    <w:rsid w:val="007E09C8"/>
    <w:rsid w:val="007E10E5"/>
    <w:rsid w:val="007E1775"/>
    <w:rsid w:val="007E2D6B"/>
    <w:rsid w:val="007E3448"/>
    <w:rsid w:val="007E3973"/>
    <w:rsid w:val="007E3BA4"/>
    <w:rsid w:val="007E4E9C"/>
    <w:rsid w:val="007E63AA"/>
    <w:rsid w:val="007E6B3E"/>
    <w:rsid w:val="007E6CDE"/>
    <w:rsid w:val="007E6E2B"/>
    <w:rsid w:val="007E6E92"/>
    <w:rsid w:val="007E7522"/>
    <w:rsid w:val="007E7CC5"/>
    <w:rsid w:val="007E7CFB"/>
    <w:rsid w:val="007E7D98"/>
    <w:rsid w:val="007F0201"/>
    <w:rsid w:val="007F05FD"/>
    <w:rsid w:val="007F07BF"/>
    <w:rsid w:val="007F19D1"/>
    <w:rsid w:val="007F1D6B"/>
    <w:rsid w:val="007F35CC"/>
    <w:rsid w:val="007F4850"/>
    <w:rsid w:val="007F62C2"/>
    <w:rsid w:val="007F77FB"/>
    <w:rsid w:val="007F7877"/>
    <w:rsid w:val="00800B9B"/>
    <w:rsid w:val="00800D61"/>
    <w:rsid w:val="00801003"/>
    <w:rsid w:val="00801F95"/>
    <w:rsid w:val="00802EC2"/>
    <w:rsid w:val="00802F97"/>
    <w:rsid w:val="00803072"/>
    <w:rsid w:val="00803848"/>
    <w:rsid w:val="00803B7F"/>
    <w:rsid w:val="00803C88"/>
    <w:rsid w:val="0080406D"/>
    <w:rsid w:val="008043F1"/>
    <w:rsid w:val="00804448"/>
    <w:rsid w:val="008059B6"/>
    <w:rsid w:val="00805BF6"/>
    <w:rsid w:val="0080665B"/>
    <w:rsid w:val="00807F4E"/>
    <w:rsid w:val="008102B8"/>
    <w:rsid w:val="00810356"/>
    <w:rsid w:val="008115B5"/>
    <w:rsid w:val="00811759"/>
    <w:rsid w:val="008117C9"/>
    <w:rsid w:val="008129F3"/>
    <w:rsid w:val="00813153"/>
    <w:rsid w:val="00813DC7"/>
    <w:rsid w:val="00814791"/>
    <w:rsid w:val="00814CF0"/>
    <w:rsid w:val="008155FA"/>
    <w:rsid w:val="00815C56"/>
    <w:rsid w:val="008175A0"/>
    <w:rsid w:val="00817AEE"/>
    <w:rsid w:val="00820467"/>
    <w:rsid w:val="00820864"/>
    <w:rsid w:val="00820B6D"/>
    <w:rsid w:val="00820B9B"/>
    <w:rsid w:val="008224BB"/>
    <w:rsid w:val="00822C33"/>
    <w:rsid w:val="00822E27"/>
    <w:rsid w:val="00823758"/>
    <w:rsid w:val="00823D8A"/>
    <w:rsid w:val="008242E4"/>
    <w:rsid w:val="008247C6"/>
    <w:rsid w:val="00824F8C"/>
    <w:rsid w:val="008259A4"/>
    <w:rsid w:val="00826121"/>
    <w:rsid w:val="00826AC6"/>
    <w:rsid w:val="00826DE8"/>
    <w:rsid w:val="00826EE9"/>
    <w:rsid w:val="00830CAF"/>
    <w:rsid w:val="00831376"/>
    <w:rsid w:val="00831443"/>
    <w:rsid w:val="00831898"/>
    <w:rsid w:val="00831AAF"/>
    <w:rsid w:val="00832997"/>
    <w:rsid w:val="008336F4"/>
    <w:rsid w:val="008345CE"/>
    <w:rsid w:val="00835C76"/>
    <w:rsid w:val="00836321"/>
    <w:rsid w:val="00837020"/>
    <w:rsid w:val="008378EC"/>
    <w:rsid w:val="00837E26"/>
    <w:rsid w:val="00840065"/>
    <w:rsid w:val="008412A2"/>
    <w:rsid w:val="00841533"/>
    <w:rsid w:val="00842480"/>
    <w:rsid w:val="008433F0"/>
    <w:rsid w:val="0084368A"/>
    <w:rsid w:val="008447AF"/>
    <w:rsid w:val="00844D77"/>
    <w:rsid w:val="00846027"/>
    <w:rsid w:val="008469D2"/>
    <w:rsid w:val="00846F5C"/>
    <w:rsid w:val="00847663"/>
    <w:rsid w:val="0085004B"/>
    <w:rsid w:val="008500A4"/>
    <w:rsid w:val="00850437"/>
    <w:rsid w:val="00850FBD"/>
    <w:rsid w:val="008518A3"/>
    <w:rsid w:val="008518D8"/>
    <w:rsid w:val="00851D4F"/>
    <w:rsid w:val="00852097"/>
    <w:rsid w:val="0085257D"/>
    <w:rsid w:val="00852DA9"/>
    <w:rsid w:val="008532C9"/>
    <w:rsid w:val="00853481"/>
    <w:rsid w:val="00853C18"/>
    <w:rsid w:val="008551A6"/>
    <w:rsid w:val="00855E55"/>
    <w:rsid w:val="008560E2"/>
    <w:rsid w:val="008569EE"/>
    <w:rsid w:val="008609B6"/>
    <w:rsid w:val="00860A70"/>
    <w:rsid w:val="00860EA8"/>
    <w:rsid w:val="008618D9"/>
    <w:rsid w:val="00862140"/>
    <w:rsid w:val="00862805"/>
    <w:rsid w:val="008634E2"/>
    <w:rsid w:val="008646AD"/>
    <w:rsid w:val="00864A49"/>
    <w:rsid w:val="0086570F"/>
    <w:rsid w:val="00866160"/>
    <w:rsid w:val="008667F0"/>
    <w:rsid w:val="00866D1F"/>
    <w:rsid w:val="00866D77"/>
    <w:rsid w:val="00866FD2"/>
    <w:rsid w:val="00867F98"/>
    <w:rsid w:val="008702A3"/>
    <w:rsid w:val="00870435"/>
    <w:rsid w:val="008704C6"/>
    <w:rsid w:val="00871F8F"/>
    <w:rsid w:val="008721A5"/>
    <w:rsid w:val="00873392"/>
    <w:rsid w:val="008734E1"/>
    <w:rsid w:val="008739E5"/>
    <w:rsid w:val="00875831"/>
    <w:rsid w:val="00876E4F"/>
    <w:rsid w:val="00877AAD"/>
    <w:rsid w:val="00880676"/>
    <w:rsid w:val="0088149A"/>
    <w:rsid w:val="00881714"/>
    <w:rsid w:val="00881A98"/>
    <w:rsid w:val="00881C2A"/>
    <w:rsid w:val="00882404"/>
    <w:rsid w:val="0088324F"/>
    <w:rsid w:val="00884755"/>
    <w:rsid w:val="008851F9"/>
    <w:rsid w:val="008860DF"/>
    <w:rsid w:val="00887199"/>
    <w:rsid w:val="008908F4"/>
    <w:rsid w:val="00891397"/>
    <w:rsid w:val="008921A6"/>
    <w:rsid w:val="00893562"/>
    <w:rsid w:val="00893C58"/>
    <w:rsid w:val="00893E66"/>
    <w:rsid w:val="008948F1"/>
    <w:rsid w:val="008950BB"/>
    <w:rsid w:val="008955F7"/>
    <w:rsid w:val="00895B09"/>
    <w:rsid w:val="00895CBA"/>
    <w:rsid w:val="008969ED"/>
    <w:rsid w:val="00896A81"/>
    <w:rsid w:val="00897A6A"/>
    <w:rsid w:val="008A06DB"/>
    <w:rsid w:val="008A1855"/>
    <w:rsid w:val="008A1CEA"/>
    <w:rsid w:val="008A1CF8"/>
    <w:rsid w:val="008A2122"/>
    <w:rsid w:val="008A21B5"/>
    <w:rsid w:val="008A2567"/>
    <w:rsid w:val="008A2D3E"/>
    <w:rsid w:val="008A5449"/>
    <w:rsid w:val="008A5C9B"/>
    <w:rsid w:val="008A66D8"/>
    <w:rsid w:val="008A6FE6"/>
    <w:rsid w:val="008A7158"/>
    <w:rsid w:val="008A717B"/>
    <w:rsid w:val="008B0118"/>
    <w:rsid w:val="008B0DA2"/>
    <w:rsid w:val="008B279A"/>
    <w:rsid w:val="008B36B1"/>
    <w:rsid w:val="008B3AB1"/>
    <w:rsid w:val="008B408D"/>
    <w:rsid w:val="008B4529"/>
    <w:rsid w:val="008B488F"/>
    <w:rsid w:val="008B5745"/>
    <w:rsid w:val="008B59D4"/>
    <w:rsid w:val="008B60AF"/>
    <w:rsid w:val="008B65DC"/>
    <w:rsid w:val="008B764C"/>
    <w:rsid w:val="008B77A6"/>
    <w:rsid w:val="008C001F"/>
    <w:rsid w:val="008C0D6B"/>
    <w:rsid w:val="008C10B3"/>
    <w:rsid w:val="008C1345"/>
    <w:rsid w:val="008C198F"/>
    <w:rsid w:val="008C1B11"/>
    <w:rsid w:val="008C269C"/>
    <w:rsid w:val="008C2945"/>
    <w:rsid w:val="008C2B13"/>
    <w:rsid w:val="008C2B57"/>
    <w:rsid w:val="008C3582"/>
    <w:rsid w:val="008C3AB5"/>
    <w:rsid w:val="008C3CBA"/>
    <w:rsid w:val="008C3D63"/>
    <w:rsid w:val="008C4089"/>
    <w:rsid w:val="008C463F"/>
    <w:rsid w:val="008C52C9"/>
    <w:rsid w:val="008C69F1"/>
    <w:rsid w:val="008C6AF9"/>
    <w:rsid w:val="008C75FA"/>
    <w:rsid w:val="008C77C6"/>
    <w:rsid w:val="008D0C68"/>
    <w:rsid w:val="008D0CD3"/>
    <w:rsid w:val="008D1333"/>
    <w:rsid w:val="008D1720"/>
    <w:rsid w:val="008D3569"/>
    <w:rsid w:val="008D3B6E"/>
    <w:rsid w:val="008D3EC9"/>
    <w:rsid w:val="008D4707"/>
    <w:rsid w:val="008D6327"/>
    <w:rsid w:val="008D699B"/>
    <w:rsid w:val="008D7451"/>
    <w:rsid w:val="008D7473"/>
    <w:rsid w:val="008E04D4"/>
    <w:rsid w:val="008E12DB"/>
    <w:rsid w:val="008E22EA"/>
    <w:rsid w:val="008E2D08"/>
    <w:rsid w:val="008E372D"/>
    <w:rsid w:val="008E3DA2"/>
    <w:rsid w:val="008E5EEE"/>
    <w:rsid w:val="008E6A7D"/>
    <w:rsid w:val="008E6AEF"/>
    <w:rsid w:val="008E6CEF"/>
    <w:rsid w:val="008F0CBF"/>
    <w:rsid w:val="008F1B03"/>
    <w:rsid w:val="008F1ECA"/>
    <w:rsid w:val="008F314D"/>
    <w:rsid w:val="008F3256"/>
    <w:rsid w:val="008F3276"/>
    <w:rsid w:val="008F384C"/>
    <w:rsid w:val="008F3A54"/>
    <w:rsid w:val="008F3F12"/>
    <w:rsid w:val="008F4007"/>
    <w:rsid w:val="008F476F"/>
    <w:rsid w:val="008F5C03"/>
    <w:rsid w:val="008F5C65"/>
    <w:rsid w:val="008F60DF"/>
    <w:rsid w:val="008F6AD9"/>
    <w:rsid w:val="008F6C6B"/>
    <w:rsid w:val="008F70A5"/>
    <w:rsid w:val="008F7CAB"/>
    <w:rsid w:val="0090009B"/>
    <w:rsid w:val="009003A0"/>
    <w:rsid w:val="00900DF3"/>
    <w:rsid w:val="0090100D"/>
    <w:rsid w:val="0090141D"/>
    <w:rsid w:val="009017E3"/>
    <w:rsid w:val="00901BDF"/>
    <w:rsid w:val="009021AF"/>
    <w:rsid w:val="009023A0"/>
    <w:rsid w:val="00902D01"/>
    <w:rsid w:val="00903B0B"/>
    <w:rsid w:val="009043BC"/>
    <w:rsid w:val="009047BE"/>
    <w:rsid w:val="00905FE8"/>
    <w:rsid w:val="00910762"/>
    <w:rsid w:val="00911575"/>
    <w:rsid w:val="0091244A"/>
    <w:rsid w:val="00912BE1"/>
    <w:rsid w:val="00913086"/>
    <w:rsid w:val="0091367B"/>
    <w:rsid w:val="00913B57"/>
    <w:rsid w:val="00913C5C"/>
    <w:rsid w:val="00914812"/>
    <w:rsid w:val="009153E0"/>
    <w:rsid w:val="009155CF"/>
    <w:rsid w:val="00915600"/>
    <w:rsid w:val="00915997"/>
    <w:rsid w:val="00915A40"/>
    <w:rsid w:val="009161E8"/>
    <w:rsid w:val="00916359"/>
    <w:rsid w:val="009163C9"/>
    <w:rsid w:val="009169B6"/>
    <w:rsid w:val="00917C5C"/>
    <w:rsid w:val="009209A1"/>
    <w:rsid w:val="00920FDF"/>
    <w:rsid w:val="00922661"/>
    <w:rsid w:val="0092271B"/>
    <w:rsid w:val="00922765"/>
    <w:rsid w:val="009227E4"/>
    <w:rsid w:val="00924ECA"/>
    <w:rsid w:val="00927034"/>
    <w:rsid w:val="00927402"/>
    <w:rsid w:val="00927C53"/>
    <w:rsid w:val="009304F2"/>
    <w:rsid w:val="009317DE"/>
    <w:rsid w:val="00931DF1"/>
    <w:rsid w:val="00932524"/>
    <w:rsid w:val="00933999"/>
    <w:rsid w:val="009347C2"/>
    <w:rsid w:val="009347CA"/>
    <w:rsid w:val="0093555F"/>
    <w:rsid w:val="00935DA1"/>
    <w:rsid w:val="00935E12"/>
    <w:rsid w:val="009363AE"/>
    <w:rsid w:val="00936B8C"/>
    <w:rsid w:val="00936C8E"/>
    <w:rsid w:val="009374FC"/>
    <w:rsid w:val="00937773"/>
    <w:rsid w:val="009401BC"/>
    <w:rsid w:val="00940333"/>
    <w:rsid w:val="00940640"/>
    <w:rsid w:val="00940833"/>
    <w:rsid w:val="00940EAF"/>
    <w:rsid w:val="00941B80"/>
    <w:rsid w:val="00941EFD"/>
    <w:rsid w:val="00942E36"/>
    <w:rsid w:val="0094383C"/>
    <w:rsid w:val="009442D9"/>
    <w:rsid w:val="009446E8"/>
    <w:rsid w:val="00944FF4"/>
    <w:rsid w:val="00945BC4"/>
    <w:rsid w:val="0094610F"/>
    <w:rsid w:val="00947280"/>
    <w:rsid w:val="00947894"/>
    <w:rsid w:val="00950A36"/>
    <w:rsid w:val="00950DC1"/>
    <w:rsid w:val="009516BB"/>
    <w:rsid w:val="009519F2"/>
    <w:rsid w:val="009523CE"/>
    <w:rsid w:val="00953AE7"/>
    <w:rsid w:val="00953B6D"/>
    <w:rsid w:val="00955630"/>
    <w:rsid w:val="00955915"/>
    <w:rsid w:val="00955F24"/>
    <w:rsid w:val="009566A7"/>
    <w:rsid w:val="00956850"/>
    <w:rsid w:val="00956BCF"/>
    <w:rsid w:val="00956C16"/>
    <w:rsid w:val="0095735B"/>
    <w:rsid w:val="00957FF9"/>
    <w:rsid w:val="009608BC"/>
    <w:rsid w:val="00960FE8"/>
    <w:rsid w:val="00961284"/>
    <w:rsid w:val="0096183B"/>
    <w:rsid w:val="00964076"/>
    <w:rsid w:val="0096433E"/>
    <w:rsid w:val="009656E1"/>
    <w:rsid w:val="0096619B"/>
    <w:rsid w:val="00967067"/>
    <w:rsid w:val="009677D6"/>
    <w:rsid w:val="009709F3"/>
    <w:rsid w:val="00971960"/>
    <w:rsid w:val="0097198E"/>
    <w:rsid w:val="00971B59"/>
    <w:rsid w:val="0097310E"/>
    <w:rsid w:val="0097311B"/>
    <w:rsid w:val="00973DFE"/>
    <w:rsid w:val="009747AE"/>
    <w:rsid w:val="009748A2"/>
    <w:rsid w:val="0097618C"/>
    <w:rsid w:val="0097665A"/>
    <w:rsid w:val="00977113"/>
    <w:rsid w:val="00977933"/>
    <w:rsid w:val="009802E8"/>
    <w:rsid w:val="009805E9"/>
    <w:rsid w:val="009809D2"/>
    <w:rsid w:val="0098124D"/>
    <w:rsid w:val="009826D1"/>
    <w:rsid w:val="00983119"/>
    <w:rsid w:val="00983E9D"/>
    <w:rsid w:val="009843D1"/>
    <w:rsid w:val="0098527B"/>
    <w:rsid w:val="00985FC6"/>
    <w:rsid w:val="009862FD"/>
    <w:rsid w:val="0098642F"/>
    <w:rsid w:val="00987AA5"/>
    <w:rsid w:val="009907FE"/>
    <w:rsid w:val="00990A69"/>
    <w:rsid w:val="0099105D"/>
    <w:rsid w:val="00991BA2"/>
    <w:rsid w:val="00991F25"/>
    <w:rsid w:val="009922C5"/>
    <w:rsid w:val="00992660"/>
    <w:rsid w:val="00992A93"/>
    <w:rsid w:val="009948CA"/>
    <w:rsid w:val="00995469"/>
    <w:rsid w:val="00995E78"/>
    <w:rsid w:val="0099762D"/>
    <w:rsid w:val="0099793D"/>
    <w:rsid w:val="009A040F"/>
    <w:rsid w:val="009A08AE"/>
    <w:rsid w:val="009A0F1E"/>
    <w:rsid w:val="009A1195"/>
    <w:rsid w:val="009A2E52"/>
    <w:rsid w:val="009A394B"/>
    <w:rsid w:val="009A3DB3"/>
    <w:rsid w:val="009A3FAC"/>
    <w:rsid w:val="009A492D"/>
    <w:rsid w:val="009A5BB7"/>
    <w:rsid w:val="009A5BEE"/>
    <w:rsid w:val="009A7998"/>
    <w:rsid w:val="009B0E6A"/>
    <w:rsid w:val="009B10BB"/>
    <w:rsid w:val="009B14A2"/>
    <w:rsid w:val="009B1C05"/>
    <w:rsid w:val="009B1F1C"/>
    <w:rsid w:val="009B28DB"/>
    <w:rsid w:val="009B2B5A"/>
    <w:rsid w:val="009B2CD4"/>
    <w:rsid w:val="009B365D"/>
    <w:rsid w:val="009B3FFB"/>
    <w:rsid w:val="009B42CA"/>
    <w:rsid w:val="009B4A88"/>
    <w:rsid w:val="009B5469"/>
    <w:rsid w:val="009B57F4"/>
    <w:rsid w:val="009B5A65"/>
    <w:rsid w:val="009B66E1"/>
    <w:rsid w:val="009B675F"/>
    <w:rsid w:val="009B6E73"/>
    <w:rsid w:val="009B7334"/>
    <w:rsid w:val="009B7DDA"/>
    <w:rsid w:val="009B7F06"/>
    <w:rsid w:val="009B7FCE"/>
    <w:rsid w:val="009C054C"/>
    <w:rsid w:val="009C14D3"/>
    <w:rsid w:val="009C28A4"/>
    <w:rsid w:val="009C2984"/>
    <w:rsid w:val="009C2BEC"/>
    <w:rsid w:val="009C2FD6"/>
    <w:rsid w:val="009C3410"/>
    <w:rsid w:val="009C3DD8"/>
    <w:rsid w:val="009C40E4"/>
    <w:rsid w:val="009C490D"/>
    <w:rsid w:val="009C51AE"/>
    <w:rsid w:val="009C5295"/>
    <w:rsid w:val="009C57B0"/>
    <w:rsid w:val="009C59D9"/>
    <w:rsid w:val="009C5D0E"/>
    <w:rsid w:val="009C78F8"/>
    <w:rsid w:val="009C79BC"/>
    <w:rsid w:val="009C7BD3"/>
    <w:rsid w:val="009C7DFB"/>
    <w:rsid w:val="009D07E3"/>
    <w:rsid w:val="009D0985"/>
    <w:rsid w:val="009D1E0A"/>
    <w:rsid w:val="009D2F76"/>
    <w:rsid w:val="009D3675"/>
    <w:rsid w:val="009D45C9"/>
    <w:rsid w:val="009D4EAF"/>
    <w:rsid w:val="009D6F45"/>
    <w:rsid w:val="009D7E56"/>
    <w:rsid w:val="009E0182"/>
    <w:rsid w:val="009E07C4"/>
    <w:rsid w:val="009E140F"/>
    <w:rsid w:val="009E1FF0"/>
    <w:rsid w:val="009E23E5"/>
    <w:rsid w:val="009E2534"/>
    <w:rsid w:val="009E2E2F"/>
    <w:rsid w:val="009E3229"/>
    <w:rsid w:val="009E32EA"/>
    <w:rsid w:val="009E3387"/>
    <w:rsid w:val="009E35F9"/>
    <w:rsid w:val="009E3749"/>
    <w:rsid w:val="009E4596"/>
    <w:rsid w:val="009E4D7C"/>
    <w:rsid w:val="009E531E"/>
    <w:rsid w:val="009E55B9"/>
    <w:rsid w:val="009E5897"/>
    <w:rsid w:val="009E5E36"/>
    <w:rsid w:val="009E6619"/>
    <w:rsid w:val="009E6D81"/>
    <w:rsid w:val="009E761F"/>
    <w:rsid w:val="009F121E"/>
    <w:rsid w:val="009F1468"/>
    <w:rsid w:val="009F1669"/>
    <w:rsid w:val="009F1B72"/>
    <w:rsid w:val="009F1EC6"/>
    <w:rsid w:val="009F2FAE"/>
    <w:rsid w:val="009F302B"/>
    <w:rsid w:val="009F432C"/>
    <w:rsid w:val="009F4C24"/>
    <w:rsid w:val="009F4C48"/>
    <w:rsid w:val="009F6195"/>
    <w:rsid w:val="009F7266"/>
    <w:rsid w:val="009F78D9"/>
    <w:rsid w:val="00A00848"/>
    <w:rsid w:val="00A00C58"/>
    <w:rsid w:val="00A011ED"/>
    <w:rsid w:val="00A011FC"/>
    <w:rsid w:val="00A0139C"/>
    <w:rsid w:val="00A01498"/>
    <w:rsid w:val="00A02935"/>
    <w:rsid w:val="00A03619"/>
    <w:rsid w:val="00A03B15"/>
    <w:rsid w:val="00A03BE6"/>
    <w:rsid w:val="00A0413A"/>
    <w:rsid w:val="00A044E4"/>
    <w:rsid w:val="00A051F6"/>
    <w:rsid w:val="00A077F0"/>
    <w:rsid w:val="00A07B08"/>
    <w:rsid w:val="00A105CB"/>
    <w:rsid w:val="00A111BA"/>
    <w:rsid w:val="00A115EC"/>
    <w:rsid w:val="00A11689"/>
    <w:rsid w:val="00A11731"/>
    <w:rsid w:val="00A11838"/>
    <w:rsid w:val="00A13409"/>
    <w:rsid w:val="00A13DF3"/>
    <w:rsid w:val="00A13E5C"/>
    <w:rsid w:val="00A14419"/>
    <w:rsid w:val="00A1450F"/>
    <w:rsid w:val="00A14B44"/>
    <w:rsid w:val="00A14D1C"/>
    <w:rsid w:val="00A14DA1"/>
    <w:rsid w:val="00A14FC0"/>
    <w:rsid w:val="00A1633E"/>
    <w:rsid w:val="00A16C28"/>
    <w:rsid w:val="00A16CA4"/>
    <w:rsid w:val="00A17521"/>
    <w:rsid w:val="00A21923"/>
    <w:rsid w:val="00A21B06"/>
    <w:rsid w:val="00A227AC"/>
    <w:rsid w:val="00A232D7"/>
    <w:rsid w:val="00A25B05"/>
    <w:rsid w:val="00A25B75"/>
    <w:rsid w:val="00A26807"/>
    <w:rsid w:val="00A26BAD"/>
    <w:rsid w:val="00A30894"/>
    <w:rsid w:val="00A30AE7"/>
    <w:rsid w:val="00A31B71"/>
    <w:rsid w:val="00A31D04"/>
    <w:rsid w:val="00A32B38"/>
    <w:rsid w:val="00A33820"/>
    <w:rsid w:val="00A345FC"/>
    <w:rsid w:val="00A34963"/>
    <w:rsid w:val="00A365CC"/>
    <w:rsid w:val="00A36725"/>
    <w:rsid w:val="00A369D9"/>
    <w:rsid w:val="00A37A48"/>
    <w:rsid w:val="00A37B9D"/>
    <w:rsid w:val="00A40743"/>
    <w:rsid w:val="00A40BED"/>
    <w:rsid w:val="00A40D8D"/>
    <w:rsid w:val="00A41110"/>
    <w:rsid w:val="00A413AC"/>
    <w:rsid w:val="00A41761"/>
    <w:rsid w:val="00A428C8"/>
    <w:rsid w:val="00A42B10"/>
    <w:rsid w:val="00A43FC4"/>
    <w:rsid w:val="00A45F60"/>
    <w:rsid w:val="00A4670D"/>
    <w:rsid w:val="00A46839"/>
    <w:rsid w:val="00A46F2A"/>
    <w:rsid w:val="00A4751E"/>
    <w:rsid w:val="00A47E6E"/>
    <w:rsid w:val="00A502F7"/>
    <w:rsid w:val="00A50398"/>
    <w:rsid w:val="00A505C0"/>
    <w:rsid w:val="00A50602"/>
    <w:rsid w:val="00A51039"/>
    <w:rsid w:val="00A51C2C"/>
    <w:rsid w:val="00A52781"/>
    <w:rsid w:val="00A53FF1"/>
    <w:rsid w:val="00A5436F"/>
    <w:rsid w:val="00A556B2"/>
    <w:rsid w:val="00A557E8"/>
    <w:rsid w:val="00A561B1"/>
    <w:rsid w:val="00A576B7"/>
    <w:rsid w:val="00A57C5B"/>
    <w:rsid w:val="00A60A59"/>
    <w:rsid w:val="00A60FDB"/>
    <w:rsid w:val="00A614F8"/>
    <w:rsid w:val="00A61787"/>
    <w:rsid w:val="00A6263D"/>
    <w:rsid w:val="00A62899"/>
    <w:rsid w:val="00A62D9E"/>
    <w:rsid w:val="00A6354C"/>
    <w:rsid w:val="00A63F85"/>
    <w:rsid w:val="00A641BD"/>
    <w:rsid w:val="00A653CA"/>
    <w:rsid w:val="00A65AE8"/>
    <w:rsid w:val="00A65D57"/>
    <w:rsid w:val="00A67BEF"/>
    <w:rsid w:val="00A704CB"/>
    <w:rsid w:val="00A70584"/>
    <w:rsid w:val="00A70A4D"/>
    <w:rsid w:val="00A710C8"/>
    <w:rsid w:val="00A73166"/>
    <w:rsid w:val="00A73D99"/>
    <w:rsid w:val="00A73EFA"/>
    <w:rsid w:val="00A74A71"/>
    <w:rsid w:val="00A769B5"/>
    <w:rsid w:val="00A7769E"/>
    <w:rsid w:val="00A805B4"/>
    <w:rsid w:val="00A80A8B"/>
    <w:rsid w:val="00A80D2C"/>
    <w:rsid w:val="00A81F6B"/>
    <w:rsid w:val="00A81FC2"/>
    <w:rsid w:val="00A82509"/>
    <w:rsid w:val="00A8288E"/>
    <w:rsid w:val="00A82D52"/>
    <w:rsid w:val="00A83A06"/>
    <w:rsid w:val="00A83FEC"/>
    <w:rsid w:val="00A844B9"/>
    <w:rsid w:val="00A860DE"/>
    <w:rsid w:val="00A87193"/>
    <w:rsid w:val="00A87541"/>
    <w:rsid w:val="00A90AEF"/>
    <w:rsid w:val="00A90DA1"/>
    <w:rsid w:val="00A91FCE"/>
    <w:rsid w:val="00A9250D"/>
    <w:rsid w:val="00A927F3"/>
    <w:rsid w:val="00A92AE6"/>
    <w:rsid w:val="00A9315A"/>
    <w:rsid w:val="00A93384"/>
    <w:rsid w:val="00A93900"/>
    <w:rsid w:val="00A93F8F"/>
    <w:rsid w:val="00A94F44"/>
    <w:rsid w:val="00A94FF5"/>
    <w:rsid w:val="00A95538"/>
    <w:rsid w:val="00A95945"/>
    <w:rsid w:val="00A96B91"/>
    <w:rsid w:val="00A96D7A"/>
    <w:rsid w:val="00A96DBB"/>
    <w:rsid w:val="00A974DF"/>
    <w:rsid w:val="00A97DA2"/>
    <w:rsid w:val="00AA01BE"/>
    <w:rsid w:val="00AA1253"/>
    <w:rsid w:val="00AA175D"/>
    <w:rsid w:val="00AA249E"/>
    <w:rsid w:val="00AA32BF"/>
    <w:rsid w:val="00AA37A8"/>
    <w:rsid w:val="00AA38B6"/>
    <w:rsid w:val="00AA4092"/>
    <w:rsid w:val="00AA45B8"/>
    <w:rsid w:val="00AA5BB3"/>
    <w:rsid w:val="00AA5DF1"/>
    <w:rsid w:val="00AA60AA"/>
    <w:rsid w:val="00AA688D"/>
    <w:rsid w:val="00AA6CC7"/>
    <w:rsid w:val="00AA7BAE"/>
    <w:rsid w:val="00AB1D74"/>
    <w:rsid w:val="00AB1D8A"/>
    <w:rsid w:val="00AB1DD7"/>
    <w:rsid w:val="00AB2F91"/>
    <w:rsid w:val="00AB39D3"/>
    <w:rsid w:val="00AB3D23"/>
    <w:rsid w:val="00AB3E4B"/>
    <w:rsid w:val="00AB53AE"/>
    <w:rsid w:val="00AB6FE0"/>
    <w:rsid w:val="00AB7FC5"/>
    <w:rsid w:val="00AC0433"/>
    <w:rsid w:val="00AC0668"/>
    <w:rsid w:val="00AC12EB"/>
    <w:rsid w:val="00AC176C"/>
    <w:rsid w:val="00AC1AE0"/>
    <w:rsid w:val="00AC21F9"/>
    <w:rsid w:val="00AC24C5"/>
    <w:rsid w:val="00AC24CC"/>
    <w:rsid w:val="00AC2E24"/>
    <w:rsid w:val="00AC3306"/>
    <w:rsid w:val="00AC3FEB"/>
    <w:rsid w:val="00AC40EE"/>
    <w:rsid w:val="00AC4C65"/>
    <w:rsid w:val="00AC540F"/>
    <w:rsid w:val="00AC55A1"/>
    <w:rsid w:val="00AC5F0F"/>
    <w:rsid w:val="00AC676A"/>
    <w:rsid w:val="00AC6ACC"/>
    <w:rsid w:val="00AC7502"/>
    <w:rsid w:val="00AD0392"/>
    <w:rsid w:val="00AD07BB"/>
    <w:rsid w:val="00AD0B62"/>
    <w:rsid w:val="00AD1DB6"/>
    <w:rsid w:val="00AD1DBD"/>
    <w:rsid w:val="00AD2B13"/>
    <w:rsid w:val="00AD36DA"/>
    <w:rsid w:val="00AD3B7C"/>
    <w:rsid w:val="00AD3E37"/>
    <w:rsid w:val="00AD419F"/>
    <w:rsid w:val="00AD6794"/>
    <w:rsid w:val="00AE0AFE"/>
    <w:rsid w:val="00AE17AC"/>
    <w:rsid w:val="00AE2987"/>
    <w:rsid w:val="00AE35B6"/>
    <w:rsid w:val="00AE427F"/>
    <w:rsid w:val="00AE441C"/>
    <w:rsid w:val="00AE4750"/>
    <w:rsid w:val="00AE47F1"/>
    <w:rsid w:val="00AE52E5"/>
    <w:rsid w:val="00AE5768"/>
    <w:rsid w:val="00AE616B"/>
    <w:rsid w:val="00AE6F23"/>
    <w:rsid w:val="00AE70FA"/>
    <w:rsid w:val="00AF0732"/>
    <w:rsid w:val="00AF09C0"/>
    <w:rsid w:val="00AF1FCC"/>
    <w:rsid w:val="00AF225D"/>
    <w:rsid w:val="00AF5C47"/>
    <w:rsid w:val="00AF5DF3"/>
    <w:rsid w:val="00AF605C"/>
    <w:rsid w:val="00AF6701"/>
    <w:rsid w:val="00AF6866"/>
    <w:rsid w:val="00AF6C0B"/>
    <w:rsid w:val="00AF7E9E"/>
    <w:rsid w:val="00B00FC4"/>
    <w:rsid w:val="00B023F0"/>
    <w:rsid w:val="00B02BCC"/>
    <w:rsid w:val="00B03146"/>
    <w:rsid w:val="00B03610"/>
    <w:rsid w:val="00B03A9D"/>
    <w:rsid w:val="00B03C2D"/>
    <w:rsid w:val="00B03D54"/>
    <w:rsid w:val="00B0403F"/>
    <w:rsid w:val="00B04689"/>
    <w:rsid w:val="00B049F5"/>
    <w:rsid w:val="00B05007"/>
    <w:rsid w:val="00B05257"/>
    <w:rsid w:val="00B0558B"/>
    <w:rsid w:val="00B058E4"/>
    <w:rsid w:val="00B05D1E"/>
    <w:rsid w:val="00B06732"/>
    <w:rsid w:val="00B07C91"/>
    <w:rsid w:val="00B101B4"/>
    <w:rsid w:val="00B11063"/>
    <w:rsid w:val="00B11471"/>
    <w:rsid w:val="00B11708"/>
    <w:rsid w:val="00B12892"/>
    <w:rsid w:val="00B13215"/>
    <w:rsid w:val="00B13607"/>
    <w:rsid w:val="00B14980"/>
    <w:rsid w:val="00B14B1A"/>
    <w:rsid w:val="00B14CF3"/>
    <w:rsid w:val="00B14F02"/>
    <w:rsid w:val="00B1573E"/>
    <w:rsid w:val="00B16673"/>
    <w:rsid w:val="00B16B07"/>
    <w:rsid w:val="00B172BF"/>
    <w:rsid w:val="00B179F3"/>
    <w:rsid w:val="00B17C9B"/>
    <w:rsid w:val="00B2024D"/>
    <w:rsid w:val="00B202F2"/>
    <w:rsid w:val="00B207DD"/>
    <w:rsid w:val="00B21024"/>
    <w:rsid w:val="00B21181"/>
    <w:rsid w:val="00B2189C"/>
    <w:rsid w:val="00B22497"/>
    <w:rsid w:val="00B22519"/>
    <w:rsid w:val="00B22A8D"/>
    <w:rsid w:val="00B22BA6"/>
    <w:rsid w:val="00B2333A"/>
    <w:rsid w:val="00B24239"/>
    <w:rsid w:val="00B24258"/>
    <w:rsid w:val="00B244C4"/>
    <w:rsid w:val="00B247AC"/>
    <w:rsid w:val="00B248D1"/>
    <w:rsid w:val="00B249B1"/>
    <w:rsid w:val="00B2557C"/>
    <w:rsid w:val="00B25936"/>
    <w:rsid w:val="00B2696C"/>
    <w:rsid w:val="00B26A90"/>
    <w:rsid w:val="00B27194"/>
    <w:rsid w:val="00B27475"/>
    <w:rsid w:val="00B275CC"/>
    <w:rsid w:val="00B30148"/>
    <w:rsid w:val="00B304AF"/>
    <w:rsid w:val="00B306ED"/>
    <w:rsid w:val="00B30B98"/>
    <w:rsid w:val="00B311F2"/>
    <w:rsid w:val="00B313EC"/>
    <w:rsid w:val="00B32329"/>
    <w:rsid w:val="00B327E0"/>
    <w:rsid w:val="00B32DD3"/>
    <w:rsid w:val="00B339EF"/>
    <w:rsid w:val="00B33FF1"/>
    <w:rsid w:val="00B344A8"/>
    <w:rsid w:val="00B34741"/>
    <w:rsid w:val="00B34A6E"/>
    <w:rsid w:val="00B34AF8"/>
    <w:rsid w:val="00B34F32"/>
    <w:rsid w:val="00B3590B"/>
    <w:rsid w:val="00B36592"/>
    <w:rsid w:val="00B36D2A"/>
    <w:rsid w:val="00B3753A"/>
    <w:rsid w:val="00B376BE"/>
    <w:rsid w:val="00B3799E"/>
    <w:rsid w:val="00B40513"/>
    <w:rsid w:val="00B4081C"/>
    <w:rsid w:val="00B412B7"/>
    <w:rsid w:val="00B427C1"/>
    <w:rsid w:val="00B42AFD"/>
    <w:rsid w:val="00B44973"/>
    <w:rsid w:val="00B44B51"/>
    <w:rsid w:val="00B44C9C"/>
    <w:rsid w:val="00B4552B"/>
    <w:rsid w:val="00B4593F"/>
    <w:rsid w:val="00B46119"/>
    <w:rsid w:val="00B46356"/>
    <w:rsid w:val="00B47052"/>
    <w:rsid w:val="00B47062"/>
    <w:rsid w:val="00B47E8D"/>
    <w:rsid w:val="00B50ECE"/>
    <w:rsid w:val="00B51173"/>
    <w:rsid w:val="00B51EFF"/>
    <w:rsid w:val="00B51F78"/>
    <w:rsid w:val="00B5216D"/>
    <w:rsid w:val="00B52671"/>
    <w:rsid w:val="00B52783"/>
    <w:rsid w:val="00B52FF7"/>
    <w:rsid w:val="00B5316E"/>
    <w:rsid w:val="00B53684"/>
    <w:rsid w:val="00B537E6"/>
    <w:rsid w:val="00B53A75"/>
    <w:rsid w:val="00B53EE2"/>
    <w:rsid w:val="00B54E08"/>
    <w:rsid w:val="00B55AFE"/>
    <w:rsid w:val="00B5668E"/>
    <w:rsid w:val="00B56C34"/>
    <w:rsid w:val="00B60480"/>
    <w:rsid w:val="00B609FF"/>
    <w:rsid w:val="00B60F53"/>
    <w:rsid w:val="00B61569"/>
    <w:rsid w:val="00B62739"/>
    <w:rsid w:val="00B63505"/>
    <w:rsid w:val="00B63BCE"/>
    <w:rsid w:val="00B640C3"/>
    <w:rsid w:val="00B6441A"/>
    <w:rsid w:val="00B64C22"/>
    <w:rsid w:val="00B65216"/>
    <w:rsid w:val="00B6537E"/>
    <w:rsid w:val="00B6584F"/>
    <w:rsid w:val="00B66277"/>
    <w:rsid w:val="00B665A9"/>
    <w:rsid w:val="00B66E95"/>
    <w:rsid w:val="00B67686"/>
    <w:rsid w:val="00B70163"/>
    <w:rsid w:val="00B71130"/>
    <w:rsid w:val="00B71A57"/>
    <w:rsid w:val="00B723E6"/>
    <w:rsid w:val="00B7270B"/>
    <w:rsid w:val="00B72C44"/>
    <w:rsid w:val="00B74362"/>
    <w:rsid w:val="00B7467A"/>
    <w:rsid w:val="00B74B2E"/>
    <w:rsid w:val="00B74E46"/>
    <w:rsid w:val="00B75005"/>
    <w:rsid w:val="00B75248"/>
    <w:rsid w:val="00B754C4"/>
    <w:rsid w:val="00B75B1F"/>
    <w:rsid w:val="00B75D1A"/>
    <w:rsid w:val="00B76127"/>
    <w:rsid w:val="00B761E7"/>
    <w:rsid w:val="00B76743"/>
    <w:rsid w:val="00B76BD1"/>
    <w:rsid w:val="00B7733A"/>
    <w:rsid w:val="00B773DE"/>
    <w:rsid w:val="00B778A5"/>
    <w:rsid w:val="00B77B02"/>
    <w:rsid w:val="00B77D60"/>
    <w:rsid w:val="00B8014A"/>
    <w:rsid w:val="00B8044A"/>
    <w:rsid w:val="00B80498"/>
    <w:rsid w:val="00B80573"/>
    <w:rsid w:val="00B808D3"/>
    <w:rsid w:val="00B8165E"/>
    <w:rsid w:val="00B817D0"/>
    <w:rsid w:val="00B81F7E"/>
    <w:rsid w:val="00B82565"/>
    <w:rsid w:val="00B8304B"/>
    <w:rsid w:val="00B83C9F"/>
    <w:rsid w:val="00B84DD9"/>
    <w:rsid w:val="00B85FCF"/>
    <w:rsid w:val="00B86161"/>
    <w:rsid w:val="00B86829"/>
    <w:rsid w:val="00B873A6"/>
    <w:rsid w:val="00B90255"/>
    <w:rsid w:val="00B902B0"/>
    <w:rsid w:val="00B90C5A"/>
    <w:rsid w:val="00B91062"/>
    <w:rsid w:val="00B91F3C"/>
    <w:rsid w:val="00B92F16"/>
    <w:rsid w:val="00B92F2B"/>
    <w:rsid w:val="00B930BF"/>
    <w:rsid w:val="00B93273"/>
    <w:rsid w:val="00B942A5"/>
    <w:rsid w:val="00B94C18"/>
    <w:rsid w:val="00B953AF"/>
    <w:rsid w:val="00B95C92"/>
    <w:rsid w:val="00B962A7"/>
    <w:rsid w:val="00B965D1"/>
    <w:rsid w:val="00B96B5C"/>
    <w:rsid w:val="00B96FB8"/>
    <w:rsid w:val="00B97637"/>
    <w:rsid w:val="00B9795F"/>
    <w:rsid w:val="00BA059B"/>
    <w:rsid w:val="00BA059D"/>
    <w:rsid w:val="00BA05DB"/>
    <w:rsid w:val="00BA07A0"/>
    <w:rsid w:val="00BA0A03"/>
    <w:rsid w:val="00BA0B36"/>
    <w:rsid w:val="00BA1C7A"/>
    <w:rsid w:val="00BA23FF"/>
    <w:rsid w:val="00BA333D"/>
    <w:rsid w:val="00BA397B"/>
    <w:rsid w:val="00BA3F95"/>
    <w:rsid w:val="00BA41E2"/>
    <w:rsid w:val="00BA431E"/>
    <w:rsid w:val="00BA47E1"/>
    <w:rsid w:val="00BA492D"/>
    <w:rsid w:val="00BA4C70"/>
    <w:rsid w:val="00BA5151"/>
    <w:rsid w:val="00BA535B"/>
    <w:rsid w:val="00BA558C"/>
    <w:rsid w:val="00BA7389"/>
    <w:rsid w:val="00BB11AD"/>
    <w:rsid w:val="00BB1691"/>
    <w:rsid w:val="00BB184A"/>
    <w:rsid w:val="00BB2E1C"/>
    <w:rsid w:val="00BB387E"/>
    <w:rsid w:val="00BB38B7"/>
    <w:rsid w:val="00BB40D2"/>
    <w:rsid w:val="00BB460A"/>
    <w:rsid w:val="00BB5777"/>
    <w:rsid w:val="00BB63C5"/>
    <w:rsid w:val="00BB6600"/>
    <w:rsid w:val="00BB6794"/>
    <w:rsid w:val="00BB6C69"/>
    <w:rsid w:val="00BB73D9"/>
    <w:rsid w:val="00BB762E"/>
    <w:rsid w:val="00BB7680"/>
    <w:rsid w:val="00BB7A23"/>
    <w:rsid w:val="00BC09CF"/>
    <w:rsid w:val="00BC0D1E"/>
    <w:rsid w:val="00BC1AAD"/>
    <w:rsid w:val="00BC1AC2"/>
    <w:rsid w:val="00BC1FFD"/>
    <w:rsid w:val="00BC3590"/>
    <w:rsid w:val="00BC36E0"/>
    <w:rsid w:val="00BC3AD1"/>
    <w:rsid w:val="00BC447C"/>
    <w:rsid w:val="00BC49AF"/>
    <w:rsid w:val="00BC4BAA"/>
    <w:rsid w:val="00BC4FF4"/>
    <w:rsid w:val="00BC566E"/>
    <w:rsid w:val="00BC6096"/>
    <w:rsid w:val="00BC69AB"/>
    <w:rsid w:val="00BC77C1"/>
    <w:rsid w:val="00BC7FDA"/>
    <w:rsid w:val="00BD0982"/>
    <w:rsid w:val="00BD0D3B"/>
    <w:rsid w:val="00BD0FC9"/>
    <w:rsid w:val="00BD1554"/>
    <w:rsid w:val="00BD1EB0"/>
    <w:rsid w:val="00BD25BE"/>
    <w:rsid w:val="00BD2625"/>
    <w:rsid w:val="00BD266D"/>
    <w:rsid w:val="00BD341F"/>
    <w:rsid w:val="00BD3615"/>
    <w:rsid w:val="00BD40E9"/>
    <w:rsid w:val="00BD506B"/>
    <w:rsid w:val="00BD506F"/>
    <w:rsid w:val="00BD57C6"/>
    <w:rsid w:val="00BD5BEA"/>
    <w:rsid w:val="00BD6914"/>
    <w:rsid w:val="00BD6A01"/>
    <w:rsid w:val="00BD6B87"/>
    <w:rsid w:val="00BD7757"/>
    <w:rsid w:val="00BD77C1"/>
    <w:rsid w:val="00BD7828"/>
    <w:rsid w:val="00BD7D53"/>
    <w:rsid w:val="00BE0812"/>
    <w:rsid w:val="00BE20BF"/>
    <w:rsid w:val="00BE27C7"/>
    <w:rsid w:val="00BE2905"/>
    <w:rsid w:val="00BE29F8"/>
    <w:rsid w:val="00BE3ADC"/>
    <w:rsid w:val="00BE3C17"/>
    <w:rsid w:val="00BE4344"/>
    <w:rsid w:val="00BE47A3"/>
    <w:rsid w:val="00BE47CC"/>
    <w:rsid w:val="00BE4BEC"/>
    <w:rsid w:val="00BE4D83"/>
    <w:rsid w:val="00BE5550"/>
    <w:rsid w:val="00BE6325"/>
    <w:rsid w:val="00BE63F4"/>
    <w:rsid w:val="00BE648F"/>
    <w:rsid w:val="00BE6550"/>
    <w:rsid w:val="00BE680D"/>
    <w:rsid w:val="00BF02B2"/>
    <w:rsid w:val="00BF17DC"/>
    <w:rsid w:val="00BF1B92"/>
    <w:rsid w:val="00BF22C0"/>
    <w:rsid w:val="00BF2F58"/>
    <w:rsid w:val="00BF3F38"/>
    <w:rsid w:val="00BF5AAE"/>
    <w:rsid w:val="00BF5C54"/>
    <w:rsid w:val="00BF5F52"/>
    <w:rsid w:val="00BF6216"/>
    <w:rsid w:val="00BF6CAB"/>
    <w:rsid w:val="00BF6DB1"/>
    <w:rsid w:val="00BF74DE"/>
    <w:rsid w:val="00BF7AA1"/>
    <w:rsid w:val="00BF7FB7"/>
    <w:rsid w:val="00C00158"/>
    <w:rsid w:val="00C003FC"/>
    <w:rsid w:val="00C00869"/>
    <w:rsid w:val="00C0090F"/>
    <w:rsid w:val="00C00B05"/>
    <w:rsid w:val="00C00BD4"/>
    <w:rsid w:val="00C00F0D"/>
    <w:rsid w:val="00C01B59"/>
    <w:rsid w:val="00C01F81"/>
    <w:rsid w:val="00C02438"/>
    <w:rsid w:val="00C02BDD"/>
    <w:rsid w:val="00C04565"/>
    <w:rsid w:val="00C04C96"/>
    <w:rsid w:val="00C05AD5"/>
    <w:rsid w:val="00C06642"/>
    <w:rsid w:val="00C0779F"/>
    <w:rsid w:val="00C0788B"/>
    <w:rsid w:val="00C0796B"/>
    <w:rsid w:val="00C07E6C"/>
    <w:rsid w:val="00C1007D"/>
    <w:rsid w:val="00C1096D"/>
    <w:rsid w:val="00C10ABD"/>
    <w:rsid w:val="00C10BAF"/>
    <w:rsid w:val="00C11430"/>
    <w:rsid w:val="00C12C89"/>
    <w:rsid w:val="00C12CBD"/>
    <w:rsid w:val="00C12E10"/>
    <w:rsid w:val="00C12FDE"/>
    <w:rsid w:val="00C1340E"/>
    <w:rsid w:val="00C13A32"/>
    <w:rsid w:val="00C14EDF"/>
    <w:rsid w:val="00C15D22"/>
    <w:rsid w:val="00C15E58"/>
    <w:rsid w:val="00C16DA1"/>
    <w:rsid w:val="00C17070"/>
    <w:rsid w:val="00C170AA"/>
    <w:rsid w:val="00C1799D"/>
    <w:rsid w:val="00C17C77"/>
    <w:rsid w:val="00C200DE"/>
    <w:rsid w:val="00C20BA0"/>
    <w:rsid w:val="00C2182D"/>
    <w:rsid w:val="00C21C9E"/>
    <w:rsid w:val="00C22E69"/>
    <w:rsid w:val="00C23451"/>
    <w:rsid w:val="00C245D0"/>
    <w:rsid w:val="00C24635"/>
    <w:rsid w:val="00C247F3"/>
    <w:rsid w:val="00C248A0"/>
    <w:rsid w:val="00C2568E"/>
    <w:rsid w:val="00C25917"/>
    <w:rsid w:val="00C25952"/>
    <w:rsid w:val="00C2615C"/>
    <w:rsid w:val="00C269A8"/>
    <w:rsid w:val="00C26B82"/>
    <w:rsid w:val="00C272A4"/>
    <w:rsid w:val="00C278DA"/>
    <w:rsid w:val="00C27918"/>
    <w:rsid w:val="00C27DA3"/>
    <w:rsid w:val="00C3138F"/>
    <w:rsid w:val="00C3151D"/>
    <w:rsid w:val="00C3163C"/>
    <w:rsid w:val="00C31E5F"/>
    <w:rsid w:val="00C325DA"/>
    <w:rsid w:val="00C32D40"/>
    <w:rsid w:val="00C32D64"/>
    <w:rsid w:val="00C3314A"/>
    <w:rsid w:val="00C332B0"/>
    <w:rsid w:val="00C3464C"/>
    <w:rsid w:val="00C34E2E"/>
    <w:rsid w:val="00C34F2D"/>
    <w:rsid w:val="00C35975"/>
    <w:rsid w:val="00C362EC"/>
    <w:rsid w:val="00C36AF9"/>
    <w:rsid w:val="00C37C90"/>
    <w:rsid w:val="00C4007A"/>
    <w:rsid w:val="00C41149"/>
    <w:rsid w:val="00C412B9"/>
    <w:rsid w:val="00C413E8"/>
    <w:rsid w:val="00C414B0"/>
    <w:rsid w:val="00C41CDA"/>
    <w:rsid w:val="00C41D94"/>
    <w:rsid w:val="00C427E4"/>
    <w:rsid w:val="00C42B96"/>
    <w:rsid w:val="00C42E2E"/>
    <w:rsid w:val="00C43A06"/>
    <w:rsid w:val="00C43C48"/>
    <w:rsid w:val="00C4487C"/>
    <w:rsid w:val="00C460C0"/>
    <w:rsid w:val="00C464B4"/>
    <w:rsid w:val="00C467BE"/>
    <w:rsid w:val="00C46F2F"/>
    <w:rsid w:val="00C47F12"/>
    <w:rsid w:val="00C503BE"/>
    <w:rsid w:val="00C50B29"/>
    <w:rsid w:val="00C50CAA"/>
    <w:rsid w:val="00C51073"/>
    <w:rsid w:val="00C5142C"/>
    <w:rsid w:val="00C5194B"/>
    <w:rsid w:val="00C519CE"/>
    <w:rsid w:val="00C53300"/>
    <w:rsid w:val="00C535A7"/>
    <w:rsid w:val="00C547CA"/>
    <w:rsid w:val="00C55DF6"/>
    <w:rsid w:val="00C55EF7"/>
    <w:rsid w:val="00C5714C"/>
    <w:rsid w:val="00C571AE"/>
    <w:rsid w:val="00C579F7"/>
    <w:rsid w:val="00C57CF7"/>
    <w:rsid w:val="00C60B6D"/>
    <w:rsid w:val="00C60E2B"/>
    <w:rsid w:val="00C620AF"/>
    <w:rsid w:val="00C62233"/>
    <w:rsid w:val="00C62C20"/>
    <w:rsid w:val="00C630AE"/>
    <w:rsid w:val="00C63335"/>
    <w:rsid w:val="00C63B0C"/>
    <w:rsid w:val="00C63E27"/>
    <w:rsid w:val="00C6507B"/>
    <w:rsid w:val="00C65F02"/>
    <w:rsid w:val="00C66266"/>
    <w:rsid w:val="00C67014"/>
    <w:rsid w:val="00C67CDE"/>
    <w:rsid w:val="00C702ED"/>
    <w:rsid w:val="00C70371"/>
    <w:rsid w:val="00C71339"/>
    <w:rsid w:val="00C74142"/>
    <w:rsid w:val="00C743C8"/>
    <w:rsid w:val="00C74563"/>
    <w:rsid w:val="00C746D8"/>
    <w:rsid w:val="00C7478F"/>
    <w:rsid w:val="00C74979"/>
    <w:rsid w:val="00C74C73"/>
    <w:rsid w:val="00C74CD8"/>
    <w:rsid w:val="00C74FD3"/>
    <w:rsid w:val="00C752BE"/>
    <w:rsid w:val="00C7690A"/>
    <w:rsid w:val="00C76AB7"/>
    <w:rsid w:val="00C76D61"/>
    <w:rsid w:val="00C77164"/>
    <w:rsid w:val="00C775AF"/>
    <w:rsid w:val="00C776BF"/>
    <w:rsid w:val="00C77B67"/>
    <w:rsid w:val="00C8003E"/>
    <w:rsid w:val="00C801A1"/>
    <w:rsid w:val="00C80365"/>
    <w:rsid w:val="00C809F7"/>
    <w:rsid w:val="00C815E8"/>
    <w:rsid w:val="00C82556"/>
    <w:rsid w:val="00C83743"/>
    <w:rsid w:val="00C8572F"/>
    <w:rsid w:val="00C86846"/>
    <w:rsid w:val="00C870A6"/>
    <w:rsid w:val="00C87585"/>
    <w:rsid w:val="00C8783C"/>
    <w:rsid w:val="00C87ADC"/>
    <w:rsid w:val="00C9059C"/>
    <w:rsid w:val="00C90999"/>
    <w:rsid w:val="00C9116F"/>
    <w:rsid w:val="00C9258B"/>
    <w:rsid w:val="00C927FE"/>
    <w:rsid w:val="00C929C6"/>
    <w:rsid w:val="00C9524B"/>
    <w:rsid w:val="00C9525E"/>
    <w:rsid w:val="00C9566F"/>
    <w:rsid w:val="00C96F2E"/>
    <w:rsid w:val="00C970BF"/>
    <w:rsid w:val="00C972B8"/>
    <w:rsid w:val="00C975DB"/>
    <w:rsid w:val="00C97605"/>
    <w:rsid w:val="00CA0963"/>
    <w:rsid w:val="00CA13FF"/>
    <w:rsid w:val="00CA1BCF"/>
    <w:rsid w:val="00CA1E44"/>
    <w:rsid w:val="00CA1F75"/>
    <w:rsid w:val="00CA2593"/>
    <w:rsid w:val="00CA2709"/>
    <w:rsid w:val="00CA39A9"/>
    <w:rsid w:val="00CA4108"/>
    <w:rsid w:val="00CA4A9C"/>
    <w:rsid w:val="00CA5555"/>
    <w:rsid w:val="00CA5BB5"/>
    <w:rsid w:val="00CA65D5"/>
    <w:rsid w:val="00CA6636"/>
    <w:rsid w:val="00CA6AB0"/>
    <w:rsid w:val="00CA6ABD"/>
    <w:rsid w:val="00CA6E4C"/>
    <w:rsid w:val="00CA767C"/>
    <w:rsid w:val="00CB07F6"/>
    <w:rsid w:val="00CB1F74"/>
    <w:rsid w:val="00CB275D"/>
    <w:rsid w:val="00CB294A"/>
    <w:rsid w:val="00CB3355"/>
    <w:rsid w:val="00CB393E"/>
    <w:rsid w:val="00CB3AC5"/>
    <w:rsid w:val="00CB4079"/>
    <w:rsid w:val="00CB410B"/>
    <w:rsid w:val="00CB4B84"/>
    <w:rsid w:val="00CB513F"/>
    <w:rsid w:val="00CB63FB"/>
    <w:rsid w:val="00CB669A"/>
    <w:rsid w:val="00CB68A9"/>
    <w:rsid w:val="00CB75D3"/>
    <w:rsid w:val="00CB76AB"/>
    <w:rsid w:val="00CB7DB2"/>
    <w:rsid w:val="00CB7E20"/>
    <w:rsid w:val="00CC0224"/>
    <w:rsid w:val="00CC0287"/>
    <w:rsid w:val="00CC0994"/>
    <w:rsid w:val="00CC0EF6"/>
    <w:rsid w:val="00CC117E"/>
    <w:rsid w:val="00CC1354"/>
    <w:rsid w:val="00CC2F42"/>
    <w:rsid w:val="00CC3110"/>
    <w:rsid w:val="00CC31E0"/>
    <w:rsid w:val="00CC35EF"/>
    <w:rsid w:val="00CC406A"/>
    <w:rsid w:val="00CC4A77"/>
    <w:rsid w:val="00CC4C6D"/>
    <w:rsid w:val="00CC5106"/>
    <w:rsid w:val="00CC78E0"/>
    <w:rsid w:val="00CD012D"/>
    <w:rsid w:val="00CD1576"/>
    <w:rsid w:val="00CD16DF"/>
    <w:rsid w:val="00CD3815"/>
    <w:rsid w:val="00CD5432"/>
    <w:rsid w:val="00CD56D7"/>
    <w:rsid w:val="00CD5F97"/>
    <w:rsid w:val="00CD690B"/>
    <w:rsid w:val="00CD73D9"/>
    <w:rsid w:val="00CD7C12"/>
    <w:rsid w:val="00CD7D9A"/>
    <w:rsid w:val="00CE1422"/>
    <w:rsid w:val="00CE155A"/>
    <w:rsid w:val="00CE1CB3"/>
    <w:rsid w:val="00CE2FA7"/>
    <w:rsid w:val="00CE466C"/>
    <w:rsid w:val="00CE50DF"/>
    <w:rsid w:val="00CE57C5"/>
    <w:rsid w:val="00CE6854"/>
    <w:rsid w:val="00CE719F"/>
    <w:rsid w:val="00CE7252"/>
    <w:rsid w:val="00CE7D52"/>
    <w:rsid w:val="00CE7F77"/>
    <w:rsid w:val="00CF05C2"/>
    <w:rsid w:val="00CF06C9"/>
    <w:rsid w:val="00CF087D"/>
    <w:rsid w:val="00CF15BA"/>
    <w:rsid w:val="00CF2274"/>
    <w:rsid w:val="00CF2574"/>
    <w:rsid w:val="00CF2A6B"/>
    <w:rsid w:val="00CF4637"/>
    <w:rsid w:val="00CF57FA"/>
    <w:rsid w:val="00CF6F97"/>
    <w:rsid w:val="00CF746C"/>
    <w:rsid w:val="00CF7716"/>
    <w:rsid w:val="00CF7774"/>
    <w:rsid w:val="00D004ED"/>
    <w:rsid w:val="00D0057D"/>
    <w:rsid w:val="00D031AA"/>
    <w:rsid w:val="00D04444"/>
    <w:rsid w:val="00D046E5"/>
    <w:rsid w:val="00D049A7"/>
    <w:rsid w:val="00D04D42"/>
    <w:rsid w:val="00D06210"/>
    <w:rsid w:val="00D062E1"/>
    <w:rsid w:val="00D063E7"/>
    <w:rsid w:val="00D07DCD"/>
    <w:rsid w:val="00D07F7C"/>
    <w:rsid w:val="00D10210"/>
    <w:rsid w:val="00D1182F"/>
    <w:rsid w:val="00D1194E"/>
    <w:rsid w:val="00D11F31"/>
    <w:rsid w:val="00D12449"/>
    <w:rsid w:val="00D12611"/>
    <w:rsid w:val="00D1296B"/>
    <w:rsid w:val="00D1317B"/>
    <w:rsid w:val="00D133F0"/>
    <w:rsid w:val="00D14970"/>
    <w:rsid w:val="00D14F78"/>
    <w:rsid w:val="00D157C9"/>
    <w:rsid w:val="00D158F1"/>
    <w:rsid w:val="00D1656F"/>
    <w:rsid w:val="00D16A01"/>
    <w:rsid w:val="00D1741E"/>
    <w:rsid w:val="00D17F9A"/>
    <w:rsid w:val="00D22224"/>
    <w:rsid w:val="00D22355"/>
    <w:rsid w:val="00D224BB"/>
    <w:rsid w:val="00D2258F"/>
    <w:rsid w:val="00D22BBB"/>
    <w:rsid w:val="00D23610"/>
    <w:rsid w:val="00D23A52"/>
    <w:rsid w:val="00D24636"/>
    <w:rsid w:val="00D247C3"/>
    <w:rsid w:val="00D24F11"/>
    <w:rsid w:val="00D2509C"/>
    <w:rsid w:val="00D265B3"/>
    <w:rsid w:val="00D26B96"/>
    <w:rsid w:val="00D26BC0"/>
    <w:rsid w:val="00D300A3"/>
    <w:rsid w:val="00D30379"/>
    <w:rsid w:val="00D30BAB"/>
    <w:rsid w:val="00D31709"/>
    <w:rsid w:val="00D31F26"/>
    <w:rsid w:val="00D33370"/>
    <w:rsid w:val="00D3353B"/>
    <w:rsid w:val="00D3379F"/>
    <w:rsid w:val="00D3495B"/>
    <w:rsid w:val="00D34A97"/>
    <w:rsid w:val="00D34E7F"/>
    <w:rsid w:val="00D354D7"/>
    <w:rsid w:val="00D359F5"/>
    <w:rsid w:val="00D359F6"/>
    <w:rsid w:val="00D35C91"/>
    <w:rsid w:val="00D36226"/>
    <w:rsid w:val="00D37684"/>
    <w:rsid w:val="00D37A6D"/>
    <w:rsid w:val="00D37C0A"/>
    <w:rsid w:val="00D405AD"/>
    <w:rsid w:val="00D405EB"/>
    <w:rsid w:val="00D40EB1"/>
    <w:rsid w:val="00D41DD4"/>
    <w:rsid w:val="00D41E5E"/>
    <w:rsid w:val="00D424CC"/>
    <w:rsid w:val="00D433BA"/>
    <w:rsid w:val="00D43822"/>
    <w:rsid w:val="00D4396A"/>
    <w:rsid w:val="00D43C75"/>
    <w:rsid w:val="00D44887"/>
    <w:rsid w:val="00D44976"/>
    <w:rsid w:val="00D45A1F"/>
    <w:rsid w:val="00D47565"/>
    <w:rsid w:val="00D47B0D"/>
    <w:rsid w:val="00D47B14"/>
    <w:rsid w:val="00D50F60"/>
    <w:rsid w:val="00D51614"/>
    <w:rsid w:val="00D539DC"/>
    <w:rsid w:val="00D53E18"/>
    <w:rsid w:val="00D5455E"/>
    <w:rsid w:val="00D54E2A"/>
    <w:rsid w:val="00D54F4E"/>
    <w:rsid w:val="00D5521C"/>
    <w:rsid w:val="00D559CE"/>
    <w:rsid w:val="00D56AAA"/>
    <w:rsid w:val="00D6008E"/>
    <w:rsid w:val="00D60583"/>
    <w:rsid w:val="00D60CBE"/>
    <w:rsid w:val="00D61025"/>
    <w:rsid w:val="00D61B6E"/>
    <w:rsid w:val="00D625E2"/>
    <w:rsid w:val="00D63173"/>
    <w:rsid w:val="00D63309"/>
    <w:rsid w:val="00D63697"/>
    <w:rsid w:val="00D63EB6"/>
    <w:rsid w:val="00D63EE7"/>
    <w:rsid w:val="00D66C1B"/>
    <w:rsid w:val="00D66F4E"/>
    <w:rsid w:val="00D67659"/>
    <w:rsid w:val="00D67A8A"/>
    <w:rsid w:val="00D70FF3"/>
    <w:rsid w:val="00D7150F"/>
    <w:rsid w:val="00D7196C"/>
    <w:rsid w:val="00D72A99"/>
    <w:rsid w:val="00D72B49"/>
    <w:rsid w:val="00D73062"/>
    <w:rsid w:val="00D73761"/>
    <w:rsid w:val="00D74117"/>
    <w:rsid w:val="00D7437C"/>
    <w:rsid w:val="00D75839"/>
    <w:rsid w:val="00D7796E"/>
    <w:rsid w:val="00D77EEF"/>
    <w:rsid w:val="00D8010E"/>
    <w:rsid w:val="00D8097F"/>
    <w:rsid w:val="00D8122D"/>
    <w:rsid w:val="00D81354"/>
    <w:rsid w:val="00D81A1D"/>
    <w:rsid w:val="00D82BFC"/>
    <w:rsid w:val="00D83A29"/>
    <w:rsid w:val="00D83F09"/>
    <w:rsid w:val="00D84059"/>
    <w:rsid w:val="00D918BF"/>
    <w:rsid w:val="00D91F57"/>
    <w:rsid w:val="00D91F59"/>
    <w:rsid w:val="00D9219E"/>
    <w:rsid w:val="00D934C5"/>
    <w:rsid w:val="00D93716"/>
    <w:rsid w:val="00D93D2C"/>
    <w:rsid w:val="00D94842"/>
    <w:rsid w:val="00D952C7"/>
    <w:rsid w:val="00D953D9"/>
    <w:rsid w:val="00D97A05"/>
    <w:rsid w:val="00D97C17"/>
    <w:rsid w:val="00D97F6E"/>
    <w:rsid w:val="00DA01C9"/>
    <w:rsid w:val="00DA06A5"/>
    <w:rsid w:val="00DA0B13"/>
    <w:rsid w:val="00DA0D5D"/>
    <w:rsid w:val="00DA1768"/>
    <w:rsid w:val="00DA1A90"/>
    <w:rsid w:val="00DA1B2E"/>
    <w:rsid w:val="00DA2339"/>
    <w:rsid w:val="00DA289C"/>
    <w:rsid w:val="00DA2CF4"/>
    <w:rsid w:val="00DA38A3"/>
    <w:rsid w:val="00DA47D6"/>
    <w:rsid w:val="00DA567D"/>
    <w:rsid w:val="00DA5824"/>
    <w:rsid w:val="00DA6E21"/>
    <w:rsid w:val="00DA76CC"/>
    <w:rsid w:val="00DA776E"/>
    <w:rsid w:val="00DA7D76"/>
    <w:rsid w:val="00DB04FD"/>
    <w:rsid w:val="00DB074E"/>
    <w:rsid w:val="00DB1C92"/>
    <w:rsid w:val="00DB24D1"/>
    <w:rsid w:val="00DB3BE6"/>
    <w:rsid w:val="00DB3FDB"/>
    <w:rsid w:val="00DB40D6"/>
    <w:rsid w:val="00DB4233"/>
    <w:rsid w:val="00DB47F5"/>
    <w:rsid w:val="00DB562B"/>
    <w:rsid w:val="00DB641A"/>
    <w:rsid w:val="00DB6AA7"/>
    <w:rsid w:val="00DB6EC3"/>
    <w:rsid w:val="00DC0385"/>
    <w:rsid w:val="00DC0A88"/>
    <w:rsid w:val="00DC12EB"/>
    <w:rsid w:val="00DC1B8C"/>
    <w:rsid w:val="00DC2DAA"/>
    <w:rsid w:val="00DC3B1A"/>
    <w:rsid w:val="00DC3DA2"/>
    <w:rsid w:val="00DC472C"/>
    <w:rsid w:val="00DC5244"/>
    <w:rsid w:val="00DC5687"/>
    <w:rsid w:val="00DC57A4"/>
    <w:rsid w:val="00DC5934"/>
    <w:rsid w:val="00DC6899"/>
    <w:rsid w:val="00DC7247"/>
    <w:rsid w:val="00DC7984"/>
    <w:rsid w:val="00DD0DF9"/>
    <w:rsid w:val="00DD2A91"/>
    <w:rsid w:val="00DD3260"/>
    <w:rsid w:val="00DD437D"/>
    <w:rsid w:val="00DD4400"/>
    <w:rsid w:val="00DD4A90"/>
    <w:rsid w:val="00DD4AEB"/>
    <w:rsid w:val="00DD5485"/>
    <w:rsid w:val="00DD71BF"/>
    <w:rsid w:val="00DD7977"/>
    <w:rsid w:val="00DD7CDA"/>
    <w:rsid w:val="00DD7CEA"/>
    <w:rsid w:val="00DE00B1"/>
    <w:rsid w:val="00DE0516"/>
    <w:rsid w:val="00DE10AD"/>
    <w:rsid w:val="00DE1F07"/>
    <w:rsid w:val="00DE2383"/>
    <w:rsid w:val="00DE2A15"/>
    <w:rsid w:val="00DE2A53"/>
    <w:rsid w:val="00DE2F13"/>
    <w:rsid w:val="00DE3EEF"/>
    <w:rsid w:val="00DE40E2"/>
    <w:rsid w:val="00DE516F"/>
    <w:rsid w:val="00DE720A"/>
    <w:rsid w:val="00DE7592"/>
    <w:rsid w:val="00DE7AEB"/>
    <w:rsid w:val="00DF044C"/>
    <w:rsid w:val="00DF0664"/>
    <w:rsid w:val="00DF15F6"/>
    <w:rsid w:val="00DF2C86"/>
    <w:rsid w:val="00DF318C"/>
    <w:rsid w:val="00DF4F96"/>
    <w:rsid w:val="00DF5917"/>
    <w:rsid w:val="00DF688D"/>
    <w:rsid w:val="00DF6E51"/>
    <w:rsid w:val="00DF7489"/>
    <w:rsid w:val="00E01028"/>
    <w:rsid w:val="00E01543"/>
    <w:rsid w:val="00E01745"/>
    <w:rsid w:val="00E01EA0"/>
    <w:rsid w:val="00E03077"/>
    <w:rsid w:val="00E03079"/>
    <w:rsid w:val="00E031C3"/>
    <w:rsid w:val="00E04684"/>
    <w:rsid w:val="00E04879"/>
    <w:rsid w:val="00E04963"/>
    <w:rsid w:val="00E04B59"/>
    <w:rsid w:val="00E052DE"/>
    <w:rsid w:val="00E05552"/>
    <w:rsid w:val="00E05A1C"/>
    <w:rsid w:val="00E05C1B"/>
    <w:rsid w:val="00E05FC3"/>
    <w:rsid w:val="00E0779D"/>
    <w:rsid w:val="00E10C8E"/>
    <w:rsid w:val="00E10E93"/>
    <w:rsid w:val="00E10EDF"/>
    <w:rsid w:val="00E11E68"/>
    <w:rsid w:val="00E120AF"/>
    <w:rsid w:val="00E120DD"/>
    <w:rsid w:val="00E121E4"/>
    <w:rsid w:val="00E12E97"/>
    <w:rsid w:val="00E13598"/>
    <w:rsid w:val="00E14260"/>
    <w:rsid w:val="00E15697"/>
    <w:rsid w:val="00E1656E"/>
    <w:rsid w:val="00E16969"/>
    <w:rsid w:val="00E170D9"/>
    <w:rsid w:val="00E2020B"/>
    <w:rsid w:val="00E205F2"/>
    <w:rsid w:val="00E2093B"/>
    <w:rsid w:val="00E216CD"/>
    <w:rsid w:val="00E21832"/>
    <w:rsid w:val="00E21AB0"/>
    <w:rsid w:val="00E21B1D"/>
    <w:rsid w:val="00E21CCB"/>
    <w:rsid w:val="00E21D19"/>
    <w:rsid w:val="00E22C04"/>
    <w:rsid w:val="00E22F6B"/>
    <w:rsid w:val="00E232D7"/>
    <w:rsid w:val="00E232E0"/>
    <w:rsid w:val="00E2491E"/>
    <w:rsid w:val="00E24FFF"/>
    <w:rsid w:val="00E2551F"/>
    <w:rsid w:val="00E257FB"/>
    <w:rsid w:val="00E25C92"/>
    <w:rsid w:val="00E26623"/>
    <w:rsid w:val="00E26757"/>
    <w:rsid w:val="00E26B6E"/>
    <w:rsid w:val="00E26D28"/>
    <w:rsid w:val="00E30987"/>
    <w:rsid w:val="00E314F0"/>
    <w:rsid w:val="00E31EBA"/>
    <w:rsid w:val="00E31EBE"/>
    <w:rsid w:val="00E32321"/>
    <w:rsid w:val="00E32DE1"/>
    <w:rsid w:val="00E34B6A"/>
    <w:rsid w:val="00E34CF3"/>
    <w:rsid w:val="00E35BE1"/>
    <w:rsid w:val="00E365C8"/>
    <w:rsid w:val="00E37177"/>
    <w:rsid w:val="00E3745B"/>
    <w:rsid w:val="00E3799E"/>
    <w:rsid w:val="00E37B71"/>
    <w:rsid w:val="00E40545"/>
    <w:rsid w:val="00E407E0"/>
    <w:rsid w:val="00E407E1"/>
    <w:rsid w:val="00E41B6C"/>
    <w:rsid w:val="00E42703"/>
    <w:rsid w:val="00E42ABB"/>
    <w:rsid w:val="00E42CCA"/>
    <w:rsid w:val="00E42D61"/>
    <w:rsid w:val="00E42FE3"/>
    <w:rsid w:val="00E44A70"/>
    <w:rsid w:val="00E50878"/>
    <w:rsid w:val="00E510B9"/>
    <w:rsid w:val="00E52025"/>
    <w:rsid w:val="00E520CB"/>
    <w:rsid w:val="00E52D34"/>
    <w:rsid w:val="00E53C0E"/>
    <w:rsid w:val="00E5450F"/>
    <w:rsid w:val="00E54773"/>
    <w:rsid w:val="00E54A32"/>
    <w:rsid w:val="00E566B9"/>
    <w:rsid w:val="00E570D2"/>
    <w:rsid w:val="00E57782"/>
    <w:rsid w:val="00E57968"/>
    <w:rsid w:val="00E57D04"/>
    <w:rsid w:val="00E60A79"/>
    <w:rsid w:val="00E612DD"/>
    <w:rsid w:val="00E613CB"/>
    <w:rsid w:val="00E61909"/>
    <w:rsid w:val="00E61D36"/>
    <w:rsid w:val="00E6227F"/>
    <w:rsid w:val="00E63526"/>
    <w:rsid w:val="00E63AC4"/>
    <w:rsid w:val="00E63F8D"/>
    <w:rsid w:val="00E65AC0"/>
    <w:rsid w:val="00E66069"/>
    <w:rsid w:val="00E66136"/>
    <w:rsid w:val="00E67BB0"/>
    <w:rsid w:val="00E70143"/>
    <w:rsid w:val="00E70583"/>
    <w:rsid w:val="00E7100C"/>
    <w:rsid w:val="00E71381"/>
    <w:rsid w:val="00E71CC2"/>
    <w:rsid w:val="00E72BDD"/>
    <w:rsid w:val="00E7346E"/>
    <w:rsid w:val="00E73B84"/>
    <w:rsid w:val="00E73F01"/>
    <w:rsid w:val="00E750C5"/>
    <w:rsid w:val="00E761B8"/>
    <w:rsid w:val="00E77F20"/>
    <w:rsid w:val="00E80304"/>
    <w:rsid w:val="00E80DA1"/>
    <w:rsid w:val="00E8146C"/>
    <w:rsid w:val="00E81C52"/>
    <w:rsid w:val="00E84B9D"/>
    <w:rsid w:val="00E85192"/>
    <w:rsid w:val="00E85A82"/>
    <w:rsid w:val="00E87366"/>
    <w:rsid w:val="00E8749E"/>
    <w:rsid w:val="00E87A9D"/>
    <w:rsid w:val="00E90118"/>
    <w:rsid w:val="00E90319"/>
    <w:rsid w:val="00E90D63"/>
    <w:rsid w:val="00E91008"/>
    <w:rsid w:val="00E911D9"/>
    <w:rsid w:val="00E91D55"/>
    <w:rsid w:val="00E92639"/>
    <w:rsid w:val="00E926D2"/>
    <w:rsid w:val="00E92842"/>
    <w:rsid w:val="00E92E27"/>
    <w:rsid w:val="00E9376B"/>
    <w:rsid w:val="00E93A11"/>
    <w:rsid w:val="00E940C5"/>
    <w:rsid w:val="00E943DA"/>
    <w:rsid w:val="00E9453D"/>
    <w:rsid w:val="00E94A46"/>
    <w:rsid w:val="00E95948"/>
    <w:rsid w:val="00E95B10"/>
    <w:rsid w:val="00E96C49"/>
    <w:rsid w:val="00E96DF9"/>
    <w:rsid w:val="00E970DE"/>
    <w:rsid w:val="00E973B8"/>
    <w:rsid w:val="00EA22F6"/>
    <w:rsid w:val="00EA284A"/>
    <w:rsid w:val="00EA364A"/>
    <w:rsid w:val="00EA4A50"/>
    <w:rsid w:val="00EA57B0"/>
    <w:rsid w:val="00EA5E9E"/>
    <w:rsid w:val="00EA6014"/>
    <w:rsid w:val="00EA6C3A"/>
    <w:rsid w:val="00EA7B14"/>
    <w:rsid w:val="00EB0772"/>
    <w:rsid w:val="00EB19DC"/>
    <w:rsid w:val="00EB204E"/>
    <w:rsid w:val="00EB2478"/>
    <w:rsid w:val="00EB2BB6"/>
    <w:rsid w:val="00EB30CC"/>
    <w:rsid w:val="00EB4308"/>
    <w:rsid w:val="00EB5534"/>
    <w:rsid w:val="00EB5D1E"/>
    <w:rsid w:val="00EB5FF8"/>
    <w:rsid w:val="00EB617A"/>
    <w:rsid w:val="00EB6C29"/>
    <w:rsid w:val="00EB6F95"/>
    <w:rsid w:val="00EB7DEB"/>
    <w:rsid w:val="00EC0646"/>
    <w:rsid w:val="00EC0F4D"/>
    <w:rsid w:val="00EC11D3"/>
    <w:rsid w:val="00EC1E2A"/>
    <w:rsid w:val="00EC2BB4"/>
    <w:rsid w:val="00EC3CB8"/>
    <w:rsid w:val="00EC4713"/>
    <w:rsid w:val="00EC5D12"/>
    <w:rsid w:val="00EC5D2F"/>
    <w:rsid w:val="00EC6FB7"/>
    <w:rsid w:val="00EC7D5B"/>
    <w:rsid w:val="00ED011E"/>
    <w:rsid w:val="00ED025D"/>
    <w:rsid w:val="00ED03C2"/>
    <w:rsid w:val="00ED082A"/>
    <w:rsid w:val="00ED1567"/>
    <w:rsid w:val="00ED17C0"/>
    <w:rsid w:val="00ED1A8C"/>
    <w:rsid w:val="00ED272B"/>
    <w:rsid w:val="00ED27E3"/>
    <w:rsid w:val="00ED2B9E"/>
    <w:rsid w:val="00ED5631"/>
    <w:rsid w:val="00ED651E"/>
    <w:rsid w:val="00ED74C7"/>
    <w:rsid w:val="00ED7906"/>
    <w:rsid w:val="00ED7C88"/>
    <w:rsid w:val="00EE0782"/>
    <w:rsid w:val="00EE0FB7"/>
    <w:rsid w:val="00EE1480"/>
    <w:rsid w:val="00EE2478"/>
    <w:rsid w:val="00EE2BDA"/>
    <w:rsid w:val="00EE3EC5"/>
    <w:rsid w:val="00EE4367"/>
    <w:rsid w:val="00EE4C4E"/>
    <w:rsid w:val="00EE4C73"/>
    <w:rsid w:val="00EE4F6B"/>
    <w:rsid w:val="00EE661B"/>
    <w:rsid w:val="00EE686B"/>
    <w:rsid w:val="00EF05AB"/>
    <w:rsid w:val="00EF093C"/>
    <w:rsid w:val="00EF1738"/>
    <w:rsid w:val="00EF17DC"/>
    <w:rsid w:val="00EF29BA"/>
    <w:rsid w:val="00EF29F9"/>
    <w:rsid w:val="00EF3BAC"/>
    <w:rsid w:val="00EF47E0"/>
    <w:rsid w:val="00EF569B"/>
    <w:rsid w:val="00EF7AD6"/>
    <w:rsid w:val="00F00D01"/>
    <w:rsid w:val="00F00F7F"/>
    <w:rsid w:val="00F011A3"/>
    <w:rsid w:val="00F01A69"/>
    <w:rsid w:val="00F01CA9"/>
    <w:rsid w:val="00F02744"/>
    <w:rsid w:val="00F030BE"/>
    <w:rsid w:val="00F03661"/>
    <w:rsid w:val="00F036F7"/>
    <w:rsid w:val="00F04264"/>
    <w:rsid w:val="00F06197"/>
    <w:rsid w:val="00F0636B"/>
    <w:rsid w:val="00F064EE"/>
    <w:rsid w:val="00F07599"/>
    <w:rsid w:val="00F0772C"/>
    <w:rsid w:val="00F10568"/>
    <w:rsid w:val="00F106D0"/>
    <w:rsid w:val="00F10B93"/>
    <w:rsid w:val="00F114CF"/>
    <w:rsid w:val="00F11B5B"/>
    <w:rsid w:val="00F127AE"/>
    <w:rsid w:val="00F128F2"/>
    <w:rsid w:val="00F1347F"/>
    <w:rsid w:val="00F13D93"/>
    <w:rsid w:val="00F1403F"/>
    <w:rsid w:val="00F148B0"/>
    <w:rsid w:val="00F149E2"/>
    <w:rsid w:val="00F1546D"/>
    <w:rsid w:val="00F15B99"/>
    <w:rsid w:val="00F162F4"/>
    <w:rsid w:val="00F169DB"/>
    <w:rsid w:val="00F16B0E"/>
    <w:rsid w:val="00F20A14"/>
    <w:rsid w:val="00F210BF"/>
    <w:rsid w:val="00F2119A"/>
    <w:rsid w:val="00F21510"/>
    <w:rsid w:val="00F217CC"/>
    <w:rsid w:val="00F22290"/>
    <w:rsid w:val="00F22352"/>
    <w:rsid w:val="00F23044"/>
    <w:rsid w:val="00F23DBE"/>
    <w:rsid w:val="00F2423D"/>
    <w:rsid w:val="00F256A2"/>
    <w:rsid w:val="00F25726"/>
    <w:rsid w:val="00F25784"/>
    <w:rsid w:val="00F25812"/>
    <w:rsid w:val="00F27545"/>
    <w:rsid w:val="00F27E0F"/>
    <w:rsid w:val="00F3061C"/>
    <w:rsid w:val="00F30BA5"/>
    <w:rsid w:val="00F347A5"/>
    <w:rsid w:val="00F34E5E"/>
    <w:rsid w:val="00F3559C"/>
    <w:rsid w:val="00F36113"/>
    <w:rsid w:val="00F363CF"/>
    <w:rsid w:val="00F36C7F"/>
    <w:rsid w:val="00F379D4"/>
    <w:rsid w:val="00F400F2"/>
    <w:rsid w:val="00F40399"/>
    <w:rsid w:val="00F41B2F"/>
    <w:rsid w:val="00F41D9D"/>
    <w:rsid w:val="00F42F54"/>
    <w:rsid w:val="00F43D31"/>
    <w:rsid w:val="00F44030"/>
    <w:rsid w:val="00F441A0"/>
    <w:rsid w:val="00F441F5"/>
    <w:rsid w:val="00F44D42"/>
    <w:rsid w:val="00F45EB7"/>
    <w:rsid w:val="00F4691A"/>
    <w:rsid w:val="00F469FF"/>
    <w:rsid w:val="00F46AAD"/>
    <w:rsid w:val="00F47210"/>
    <w:rsid w:val="00F474C3"/>
    <w:rsid w:val="00F5057D"/>
    <w:rsid w:val="00F50A56"/>
    <w:rsid w:val="00F50D9F"/>
    <w:rsid w:val="00F510C5"/>
    <w:rsid w:val="00F51810"/>
    <w:rsid w:val="00F51C2F"/>
    <w:rsid w:val="00F525C9"/>
    <w:rsid w:val="00F526A4"/>
    <w:rsid w:val="00F52AB4"/>
    <w:rsid w:val="00F54802"/>
    <w:rsid w:val="00F554C5"/>
    <w:rsid w:val="00F5747F"/>
    <w:rsid w:val="00F6045E"/>
    <w:rsid w:val="00F605ED"/>
    <w:rsid w:val="00F611F4"/>
    <w:rsid w:val="00F6225A"/>
    <w:rsid w:val="00F623A0"/>
    <w:rsid w:val="00F625A5"/>
    <w:rsid w:val="00F647EE"/>
    <w:rsid w:val="00F65884"/>
    <w:rsid w:val="00F6707B"/>
    <w:rsid w:val="00F670F3"/>
    <w:rsid w:val="00F7072F"/>
    <w:rsid w:val="00F70AC2"/>
    <w:rsid w:val="00F711D6"/>
    <w:rsid w:val="00F722E1"/>
    <w:rsid w:val="00F728F6"/>
    <w:rsid w:val="00F72DD3"/>
    <w:rsid w:val="00F72E08"/>
    <w:rsid w:val="00F72FBF"/>
    <w:rsid w:val="00F74761"/>
    <w:rsid w:val="00F74E96"/>
    <w:rsid w:val="00F7683A"/>
    <w:rsid w:val="00F76A26"/>
    <w:rsid w:val="00F77CFC"/>
    <w:rsid w:val="00F80BD1"/>
    <w:rsid w:val="00F80F05"/>
    <w:rsid w:val="00F811B2"/>
    <w:rsid w:val="00F81937"/>
    <w:rsid w:val="00F81980"/>
    <w:rsid w:val="00F81DF5"/>
    <w:rsid w:val="00F825E9"/>
    <w:rsid w:val="00F83420"/>
    <w:rsid w:val="00F8367B"/>
    <w:rsid w:val="00F853A6"/>
    <w:rsid w:val="00F8548C"/>
    <w:rsid w:val="00F85945"/>
    <w:rsid w:val="00F8768F"/>
    <w:rsid w:val="00F877A7"/>
    <w:rsid w:val="00F9030C"/>
    <w:rsid w:val="00F91C13"/>
    <w:rsid w:val="00F91DE6"/>
    <w:rsid w:val="00F93805"/>
    <w:rsid w:val="00F93C73"/>
    <w:rsid w:val="00F96B44"/>
    <w:rsid w:val="00FA0640"/>
    <w:rsid w:val="00FA0813"/>
    <w:rsid w:val="00FA36A8"/>
    <w:rsid w:val="00FA37AD"/>
    <w:rsid w:val="00FA4045"/>
    <w:rsid w:val="00FA4235"/>
    <w:rsid w:val="00FA4268"/>
    <w:rsid w:val="00FA5482"/>
    <w:rsid w:val="00FA558A"/>
    <w:rsid w:val="00FA624F"/>
    <w:rsid w:val="00FA6CCA"/>
    <w:rsid w:val="00FB0AF3"/>
    <w:rsid w:val="00FB0F0E"/>
    <w:rsid w:val="00FB102C"/>
    <w:rsid w:val="00FB1ABC"/>
    <w:rsid w:val="00FB1E05"/>
    <w:rsid w:val="00FB2157"/>
    <w:rsid w:val="00FB2F5F"/>
    <w:rsid w:val="00FB39BF"/>
    <w:rsid w:val="00FB3D4A"/>
    <w:rsid w:val="00FB4FE8"/>
    <w:rsid w:val="00FB6164"/>
    <w:rsid w:val="00FB6BAD"/>
    <w:rsid w:val="00FB73E0"/>
    <w:rsid w:val="00FB76C9"/>
    <w:rsid w:val="00FB7D8C"/>
    <w:rsid w:val="00FB7F4C"/>
    <w:rsid w:val="00FC100D"/>
    <w:rsid w:val="00FC1E4F"/>
    <w:rsid w:val="00FC1FE7"/>
    <w:rsid w:val="00FC2020"/>
    <w:rsid w:val="00FC28C6"/>
    <w:rsid w:val="00FC3A5D"/>
    <w:rsid w:val="00FC3F44"/>
    <w:rsid w:val="00FC55B5"/>
    <w:rsid w:val="00FC5692"/>
    <w:rsid w:val="00FC5A41"/>
    <w:rsid w:val="00FC5C4A"/>
    <w:rsid w:val="00FC5CDB"/>
    <w:rsid w:val="00FC600E"/>
    <w:rsid w:val="00FC65FC"/>
    <w:rsid w:val="00FC6A1D"/>
    <w:rsid w:val="00FC6AD0"/>
    <w:rsid w:val="00FC6E86"/>
    <w:rsid w:val="00FC7F8A"/>
    <w:rsid w:val="00FD0C5C"/>
    <w:rsid w:val="00FD1895"/>
    <w:rsid w:val="00FD38CC"/>
    <w:rsid w:val="00FD3C1A"/>
    <w:rsid w:val="00FD44F8"/>
    <w:rsid w:val="00FD4EAC"/>
    <w:rsid w:val="00FD4EEA"/>
    <w:rsid w:val="00FD524E"/>
    <w:rsid w:val="00FD54C3"/>
    <w:rsid w:val="00FD5A0A"/>
    <w:rsid w:val="00FD609D"/>
    <w:rsid w:val="00FD624C"/>
    <w:rsid w:val="00FD7C6D"/>
    <w:rsid w:val="00FE01EE"/>
    <w:rsid w:val="00FE1A41"/>
    <w:rsid w:val="00FE1F4C"/>
    <w:rsid w:val="00FE297B"/>
    <w:rsid w:val="00FE337A"/>
    <w:rsid w:val="00FE362D"/>
    <w:rsid w:val="00FE3A09"/>
    <w:rsid w:val="00FE4B1B"/>
    <w:rsid w:val="00FE569C"/>
    <w:rsid w:val="00FE648B"/>
    <w:rsid w:val="00FE7000"/>
    <w:rsid w:val="00FE7D68"/>
    <w:rsid w:val="00FF0FD2"/>
    <w:rsid w:val="00FF1005"/>
    <w:rsid w:val="00FF1E8A"/>
    <w:rsid w:val="00FF231B"/>
    <w:rsid w:val="00FF2E1D"/>
    <w:rsid w:val="00FF345D"/>
    <w:rsid w:val="00FF36F7"/>
    <w:rsid w:val="00FF3BE2"/>
    <w:rsid w:val="00FF40DE"/>
    <w:rsid w:val="00FF41C9"/>
    <w:rsid w:val="00FF4783"/>
    <w:rsid w:val="00FF4A67"/>
    <w:rsid w:val="00FF5518"/>
    <w:rsid w:val="00FF5693"/>
    <w:rsid w:val="00FF730B"/>
    <w:rsid w:val="00FF74A4"/>
    <w:rsid w:val="00FF7771"/>
    <w:rsid w:val="03F861C3"/>
    <w:rsid w:val="05468520"/>
    <w:rsid w:val="06DD2C82"/>
    <w:rsid w:val="08C2FF5B"/>
    <w:rsid w:val="094EDBEB"/>
    <w:rsid w:val="0AB89E03"/>
    <w:rsid w:val="0C2CE278"/>
    <w:rsid w:val="0EAD3ADC"/>
    <w:rsid w:val="0F24E896"/>
    <w:rsid w:val="11CF10E0"/>
    <w:rsid w:val="11F74CDB"/>
    <w:rsid w:val="12887AA1"/>
    <w:rsid w:val="15C9D8BB"/>
    <w:rsid w:val="165EA871"/>
    <w:rsid w:val="1A60D83F"/>
    <w:rsid w:val="1B11CDD5"/>
    <w:rsid w:val="1C858DCE"/>
    <w:rsid w:val="1EA2C63E"/>
    <w:rsid w:val="1ED323CC"/>
    <w:rsid w:val="1FB5933D"/>
    <w:rsid w:val="2032B286"/>
    <w:rsid w:val="20DD4719"/>
    <w:rsid w:val="21A3F800"/>
    <w:rsid w:val="22BF7873"/>
    <w:rsid w:val="22D07BA5"/>
    <w:rsid w:val="23DE99DA"/>
    <w:rsid w:val="263A4AA8"/>
    <w:rsid w:val="272C93A2"/>
    <w:rsid w:val="280034E4"/>
    <w:rsid w:val="2D1189FC"/>
    <w:rsid w:val="2D2644CC"/>
    <w:rsid w:val="2D57EDEB"/>
    <w:rsid w:val="2F529D76"/>
    <w:rsid w:val="2F7A7D39"/>
    <w:rsid w:val="33B766FB"/>
    <w:rsid w:val="33F60FBE"/>
    <w:rsid w:val="386046C8"/>
    <w:rsid w:val="3C4D8299"/>
    <w:rsid w:val="3D373E53"/>
    <w:rsid w:val="3E3098F5"/>
    <w:rsid w:val="3EC5498C"/>
    <w:rsid w:val="4004889D"/>
    <w:rsid w:val="408563B1"/>
    <w:rsid w:val="41071F35"/>
    <w:rsid w:val="410C0B6A"/>
    <w:rsid w:val="41A79DFE"/>
    <w:rsid w:val="42607B89"/>
    <w:rsid w:val="449F90BD"/>
    <w:rsid w:val="453E2665"/>
    <w:rsid w:val="4599C428"/>
    <w:rsid w:val="46113626"/>
    <w:rsid w:val="46B1E5FE"/>
    <w:rsid w:val="46C9B6A8"/>
    <w:rsid w:val="48824736"/>
    <w:rsid w:val="4A1E4968"/>
    <w:rsid w:val="4B4E310F"/>
    <w:rsid w:val="4B78B6B3"/>
    <w:rsid w:val="4D6DF43E"/>
    <w:rsid w:val="4F67D29E"/>
    <w:rsid w:val="503186A0"/>
    <w:rsid w:val="51278985"/>
    <w:rsid w:val="52C8FCF3"/>
    <w:rsid w:val="52CCB995"/>
    <w:rsid w:val="53BDA03B"/>
    <w:rsid w:val="545A5E47"/>
    <w:rsid w:val="54AD4DA9"/>
    <w:rsid w:val="55BDE9AE"/>
    <w:rsid w:val="5A432F92"/>
    <w:rsid w:val="5B2381BD"/>
    <w:rsid w:val="5BE9A0E1"/>
    <w:rsid w:val="5C5982AE"/>
    <w:rsid w:val="5CF54D36"/>
    <w:rsid w:val="5D16B315"/>
    <w:rsid w:val="5D2A5EE4"/>
    <w:rsid w:val="5E9397B6"/>
    <w:rsid w:val="61363592"/>
    <w:rsid w:val="6244C502"/>
    <w:rsid w:val="63195A98"/>
    <w:rsid w:val="63AD5C63"/>
    <w:rsid w:val="63BC726A"/>
    <w:rsid w:val="63C915A3"/>
    <w:rsid w:val="644BAF67"/>
    <w:rsid w:val="6713DD2E"/>
    <w:rsid w:val="67C818CB"/>
    <w:rsid w:val="68E76075"/>
    <w:rsid w:val="6AC96185"/>
    <w:rsid w:val="6DB487EE"/>
    <w:rsid w:val="6E03591D"/>
    <w:rsid w:val="6E68AFDA"/>
    <w:rsid w:val="6EFBF417"/>
    <w:rsid w:val="700CBDBA"/>
    <w:rsid w:val="703649A2"/>
    <w:rsid w:val="7045D3FB"/>
    <w:rsid w:val="7082A959"/>
    <w:rsid w:val="73EC0BE4"/>
    <w:rsid w:val="754E2581"/>
    <w:rsid w:val="7556ADD6"/>
    <w:rsid w:val="75A1CF98"/>
    <w:rsid w:val="75A384D6"/>
    <w:rsid w:val="762B2993"/>
    <w:rsid w:val="77D3F001"/>
    <w:rsid w:val="795C8096"/>
    <w:rsid w:val="79CED42A"/>
    <w:rsid w:val="7A39D97A"/>
    <w:rsid w:val="7AB17847"/>
    <w:rsid w:val="7B9158E7"/>
    <w:rsid w:val="7BECE690"/>
    <w:rsid w:val="7C3B4262"/>
    <w:rsid w:val="7DCB2709"/>
    <w:rsid w:val="7EC685E6"/>
    <w:rsid w:val="7F5550DE"/>
    <w:rsid w:val="7FE5F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E520"/>
  <w15:chartTrackingRefBased/>
  <w15:docId w15:val="{0F58F98C-4A31-4E08-9EC7-820AF628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2F"/>
    <w:rPr>
      <w:rFonts w:ascii="Arial" w:hAnsi="Arial"/>
      <w:sz w:val="20"/>
    </w:rPr>
  </w:style>
  <w:style w:type="paragraph" w:styleId="Heading1">
    <w:name w:val="heading 1"/>
    <w:basedOn w:val="Normal"/>
    <w:next w:val="Normal"/>
    <w:link w:val="Heading1Char"/>
    <w:uiPriority w:val="9"/>
    <w:qFormat/>
    <w:rsid w:val="00E612DD"/>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E612DD"/>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F21510"/>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374E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4E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4E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4E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4E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4E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DD"/>
    <w:rPr>
      <w:rFonts w:eastAsiaTheme="majorEastAsia" w:cstheme="majorBidi"/>
      <w:b/>
      <w:sz w:val="40"/>
      <w:szCs w:val="40"/>
    </w:rPr>
  </w:style>
  <w:style w:type="character" w:customStyle="1" w:styleId="Heading2Char">
    <w:name w:val="Heading 2 Char"/>
    <w:basedOn w:val="DefaultParagraphFont"/>
    <w:link w:val="Heading2"/>
    <w:uiPriority w:val="9"/>
    <w:rsid w:val="00E612DD"/>
    <w:rPr>
      <w:rFonts w:eastAsiaTheme="majorEastAsia" w:cstheme="majorBidi"/>
      <w:b/>
      <w:sz w:val="32"/>
      <w:szCs w:val="32"/>
    </w:rPr>
  </w:style>
  <w:style w:type="character" w:customStyle="1" w:styleId="Heading3Char">
    <w:name w:val="Heading 3 Char"/>
    <w:basedOn w:val="DefaultParagraphFont"/>
    <w:link w:val="Heading3"/>
    <w:uiPriority w:val="9"/>
    <w:rsid w:val="00374E10"/>
    <w:rPr>
      <w:rFonts w:eastAsiaTheme="majorEastAsia" w:cstheme="majorBidi"/>
      <w:b/>
      <w:sz w:val="28"/>
      <w:szCs w:val="28"/>
    </w:rPr>
  </w:style>
  <w:style w:type="character" w:customStyle="1" w:styleId="Heading4Char">
    <w:name w:val="Heading 4 Char"/>
    <w:basedOn w:val="DefaultParagraphFont"/>
    <w:link w:val="Heading4"/>
    <w:uiPriority w:val="9"/>
    <w:semiHidden/>
    <w:rsid w:val="00374E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4E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4E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E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E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E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E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E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4E10"/>
    <w:pPr>
      <w:spacing w:before="160"/>
      <w:jc w:val="center"/>
    </w:pPr>
    <w:rPr>
      <w:i/>
      <w:iCs/>
      <w:color w:val="404040" w:themeColor="text1" w:themeTint="BF"/>
    </w:rPr>
  </w:style>
  <w:style w:type="character" w:customStyle="1" w:styleId="QuoteChar">
    <w:name w:val="Quote Char"/>
    <w:basedOn w:val="DefaultParagraphFont"/>
    <w:link w:val="Quote"/>
    <w:uiPriority w:val="29"/>
    <w:rsid w:val="00374E10"/>
    <w:rPr>
      <w:i/>
      <w:iCs/>
      <w:color w:val="404040" w:themeColor="text1" w:themeTint="BF"/>
    </w:rPr>
  </w:style>
  <w:style w:type="paragraph" w:styleId="ListParagraph">
    <w:name w:val="List Paragraph"/>
    <w:basedOn w:val="Normal"/>
    <w:uiPriority w:val="34"/>
    <w:qFormat/>
    <w:rsid w:val="00374E10"/>
    <w:pPr>
      <w:ind w:left="720"/>
      <w:contextualSpacing/>
    </w:pPr>
  </w:style>
  <w:style w:type="character" w:styleId="IntenseEmphasis">
    <w:name w:val="Intense Emphasis"/>
    <w:basedOn w:val="DefaultParagraphFont"/>
    <w:uiPriority w:val="21"/>
    <w:qFormat/>
    <w:rsid w:val="00374E10"/>
    <w:rPr>
      <w:i/>
      <w:iCs/>
      <w:color w:val="0F4761" w:themeColor="accent1" w:themeShade="BF"/>
    </w:rPr>
  </w:style>
  <w:style w:type="paragraph" w:styleId="IntenseQuote">
    <w:name w:val="Intense Quote"/>
    <w:basedOn w:val="Normal"/>
    <w:next w:val="Normal"/>
    <w:link w:val="IntenseQuoteChar"/>
    <w:uiPriority w:val="30"/>
    <w:qFormat/>
    <w:rsid w:val="0037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E10"/>
    <w:rPr>
      <w:i/>
      <w:iCs/>
      <w:color w:val="0F4761" w:themeColor="accent1" w:themeShade="BF"/>
    </w:rPr>
  </w:style>
  <w:style w:type="character" w:styleId="IntenseReference">
    <w:name w:val="Intense Reference"/>
    <w:basedOn w:val="DefaultParagraphFont"/>
    <w:uiPriority w:val="32"/>
    <w:qFormat/>
    <w:rsid w:val="00374E10"/>
    <w:rPr>
      <w:b/>
      <w:bCs/>
      <w:smallCaps/>
      <w:color w:val="0F4761" w:themeColor="accent1" w:themeShade="BF"/>
      <w:spacing w:val="5"/>
    </w:rPr>
  </w:style>
  <w:style w:type="paragraph" w:styleId="TOCHeading">
    <w:name w:val="TOC Heading"/>
    <w:basedOn w:val="Heading1"/>
    <w:next w:val="Normal"/>
    <w:uiPriority w:val="39"/>
    <w:unhideWhenUsed/>
    <w:qFormat/>
    <w:rsid w:val="00EE4C4E"/>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E4C4E"/>
    <w:pPr>
      <w:spacing w:after="100"/>
    </w:pPr>
  </w:style>
  <w:style w:type="paragraph" w:styleId="TOC2">
    <w:name w:val="toc 2"/>
    <w:basedOn w:val="Normal"/>
    <w:next w:val="Normal"/>
    <w:autoRedefine/>
    <w:uiPriority w:val="39"/>
    <w:unhideWhenUsed/>
    <w:rsid w:val="00EE4C4E"/>
    <w:pPr>
      <w:spacing w:after="100"/>
      <w:ind w:left="240"/>
    </w:pPr>
  </w:style>
  <w:style w:type="character" w:styleId="Hyperlink">
    <w:name w:val="Hyperlink"/>
    <w:basedOn w:val="DefaultParagraphFont"/>
    <w:uiPriority w:val="99"/>
    <w:unhideWhenUsed/>
    <w:rsid w:val="00EE4C4E"/>
    <w:rPr>
      <w:color w:val="467886" w:themeColor="hyperlink"/>
      <w:u w:val="single"/>
    </w:rPr>
  </w:style>
  <w:style w:type="paragraph" w:styleId="Header">
    <w:name w:val="header"/>
    <w:basedOn w:val="Normal"/>
    <w:uiPriority w:val="99"/>
    <w:unhideWhenUsed/>
    <w:rsid w:val="7B9158E7"/>
    <w:pPr>
      <w:tabs>
        <w:tab w:val="center" w:pos="4680"/>
        <w:tab w:val="right" w:pos="9360"/>
      </w:tabs>
      <w:spacing w:after="0" w:line="240" w:lineRule="auto"/>
    </w:pPr>
  </w:style>
  <w:style w:type="paragraph" w:styleId="Footer">
    <w:name w:val="footer"/>
    <w:basedOn w:val="Normal"/>
    <w:uiPriority w:val="99"/>
    <w:unhideWhenUsed/>
    <w:rsid w:val="7B9158E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3">
    <w:name w:val="toc 3"/>
    <w:basedOn w:val="Normal"/>
    <w:next w:val="Normal"/>
    <w:autoRedefine/>
    <w:uiPriority w:val="39"/>
    <w:unhideWhenUsed/>
    <w:rsid w:val="00ED082A"/>
    <w:pPr>
      <w:spacing w:after="100"/>
      <w:ind w:left="480"/>
    </w:pPr>
  </w:style>
  <w:style w:type="table" w:styleId="GridTable4">
    <w:name w:val="Grid Table 4"/>
    <w:basedOn w:val="TableNormal"/>
    <w:uiPriority w:val="49"/>
    <w:rsid w:val="003A7A5B"/>
    <w:pPr>
      <w:spacing w:after="0" w:line="240" w:lineRule="auto"/>
    </w:pPr>
    <w:tblPr>
      <w:tblStyleRowBandSize w:val="1"/>
      <w:tblStyleColBandSize w:val="1"/>
      <w:tblBorders>
        <w:top w:val="single" w:sz="4" w:space="0" w:color="673366"/>
        <w:left w:val="single" w:sz="4" w:space="0" w:color="673366"/>
        <w:bottom w:val="single" w:sz="4" w:space="0" w:color="673366"/>
        <w:right w:val="single" w:sz="4" w:space="0" w:color="673366"/>
        <w:insideH w:val="single" w:sz="4" w:space="0" w:color="673366"/>
        <w:insideV w:val="single" w:sz="4" w:space="0" w:color="673366"/>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3A7A5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3A7A5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TOC4">
    <w:name w:val="toc 4"/>
    <w:basedOn w:val="Normal"/>
    <w:next w:val="Normal"/>
    <w:autoRedefine/>
    <w:uiPriority w:val="39"/>
    <w:unhideWhenUsed/>
    <w:rsid w:val="00A6354C"/>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A6354C"/>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A6354C"/>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A6354C"/>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A6354C"/>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A6354C"/>
    <w:pPr>
      <w:spacing w:after="100"/>
      <w:ind w:left="192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A6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87f8351-899a-4d26-9a89-2052f862aaa9" xsi:nil="true"/>
    <lcf76f155ced4ddcb4097134ff3c332f xmlns="05b142e7-393c-43e4-9020-0115da4389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0E188E5948744A9219F352AF013B33" ma:contentTypeVersion="11" ma:contentTypeDescription="Een nieuw document maken." ma:contentTypeScope="" ma:versionID="42f518e6ef662935798a7eb1078ef50c">
  <xsd:schema xmlns:xsd="http://www.w3.org/2001/XMLSchema" xmlns:xs="http://www.w3.org/2001/XMLSchema" xmlns:p="http://schemas.microsoft.com/office/2006/metadata/properties" xmlns:ns2="05b142e7-393c-43e4-9020-0115da43891b" xmlns:ns3="687f8351-899a-4d26-9a89-2052f862aaa9" targetNamespace="http://schemas.microsoft.com/office/2006/metadata/properties" ma:root="true" ma:fieldsID="f7971c7b88158a6d27c70d3bac41025f" ns2:_="" ns3:_="">
    <xsd:import namespace="05b142e7-393c-43e4-9020-0115da43891b"/>
    <xsd:import namespace="687f8351-899a-4d26-9a89-2052f862a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142e7-393c-43e4-9020-0115da438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f8351-899a-4d26-9a89-2052f862a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1b6657-961d-4828-b532-e0d57c0d46ec}" ma:internalName="TaxCatchAll" ma:showField="CatchAllData" ma:web="687f8351-899a-4d26-9a89-2052f862a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DE46F-11EB-4BF0-AEDB-03ABB6011E11}">
  <ds:schemaRefs>
    <ds:schemaRef ds:uri="http://schemas.openxmlformats.org/officeDocument/2006/bibliography"/>
  </ds:schemaRefs>
</ds:datastoreItem>
</file>

<file path=customXml/itemProps2.xml><?xml version="1.0" encoding="utf-8"?>
<ds:datastoreItem xmlns:ds="http://schemas.openxmlformats.org/officeDocument/2006/customXml" ds:itemID="{6119A145-1AFC-4B1D-A635-876F6414EF5D}">
  <ds:schemaRefs>
    <ds:schemaRef ds:uri="http://schemas.microsoft.com/office/2006/metadata/properties"/>
    <ds:schemaRef ds:uri="http://schemas.microsoft.com/office/infopath/2007/PartnerControls"/>
    <ds:schemaRef ds:uri="687f8351-899a-4d26-9a89-2052f862aaa9"/>
    <ds:schemaRef ds:uri="05b142e7-393c-43e4-9020-0115da43891b"/>
  </ds:schemaRefs>
</ds:datastoreItem>
</file>

<file path=customXml/itemProps3.xml><?xml version="1.0" encoding="utf-8"?>
<ds:datastoreItem xmlns:ds="http://schemas.openxmlformats.org/officeDocument/2006/customXml" ds:itemID="{B426F7B1-F5C0-449D-A956-1E76454935D9}">
  <ds:schemaRefs>
    <ds:schemaRef ds:uri="http://schemas.microsoft.com/sharepoint/v3/contenttype/forms"/>
  </ds:schemaRefs>
</ds:datastoreItem>
</file>

<file path=customXml/itemProps4.xml><?xml version="1.0" encoding="utf-8"?>
<ds:datastoreItem xmlns:ds="http://schemas.openxmlformats.org/officeDocument/2006/customXml" ds:itemID="{5E7F944E-A4E6-4F1F-9D5D-7687293A3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142e7-393c-43e4-9020-0115da43891b"/>
    <ds:schemaRef ds:uri="687f8351-899a-4d26-9a89-2052f862a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24832</Words>
  <Characters>141549</Characters>
  <Application>Microsoft Office Word</Application>
  <DocSecurity>0</DocSecurity>
  <Lines>1179</Lines>
  <Paragraphs>332</Paragraphs>
  <ScaleCrop>false</ScaleCrop>
  <Company/>
  <LinksUpToDate>false</LinksUpToDate>
  <CharactersWithSpaces>166049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Esch,Rick R. van</dc:creator>
  <cp:keywords/>
  <dc:description/>
  <cp:lastModifiedBy>Lotte de Haan</cp:lastModifiedBy>
  <cp:revision>2</cp:revision>
  <dcterms:created xsi:type="dcterms:W3CDTF">2026-06-18T11:18:00Z</dcterms:created>
  <dcterms:modified xsi:type="dcterms:W3CDTF">2026-06-18T11:18:00Z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57d2e337-2a3e-441f-b439-6a18a9f9c205</vt:lpwstr>
  </property>
  <property fmtid="{D5CDD505-2E9C-101B-9397-08002B2CF9AE}" pid="3" name="ContentTypeId">
    <vt:lpwstr>0x010100FC0E188E5948744A9219F352AF013B33</vt:lpwstr>
  </property>
  <property fmtid="{D5CDD505-2E9C-101B-9397-08002B2CF9AE}" pid="4" name="MediaServiceImageTags">
    <vt:lpwstr/>
  </property>
</Properties>
</file>