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BC3E5B" w:rsidP="0DCBA12F" w:rsidRDefault="008E119E" w14:paraId="0AEB8735" w14:textId="0183E466">
      <w:pPr>
        <w:jc w:val="center"/>
        <w:rPr>
          <w:rFonts w:ascii="Calibri" w:hAnsi="Calibri" w:cs="Calibri"/>
        </w:rPr>
      </w:pPr>
      <w:bookmarkStart w:name="_Toc218177549" w:id="0"/>
      <w:r>
        <w:rPr>
          <w:noProof/>
        </w:rPr>
        <w:drawing>
          <wp:anchor distT="0" distB="0" distL="114300" distR="114300" simplePos="0" relativeHeight="251658240" behindDoc="0" locked="0" layoutInCell="1" allowOverlap="1" wp14:anchorId="0D2B160A" wp14:editId="194CD846">
            <wp:simplePos x="0" y="0"/>
            <wp:positionH relativeFrom="page">
              <wp:align>right</wp:align>
            </wp:positionH>
            <wp:positionV relativeFrom="paragraph">
              <wp:posOffset>-914400</wp:posOffset>
            </wp:positionV>
            <wp:extent cx="7536873" cy="10631555"/>
            <wp:effectExtent l="0" t="0" r="6985" b="0"/>
            <wp:wrapNone/>
            <wp:docPr id="3020839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536873" cy="106315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B6D07">
        <w:rPr>
          <w:rFonts w:ascii="Calibri" w:hAnsi="Calibri" w:cs="Calibri"/>
        </w:rPr>
        <w:t xml:space="preserve"> </w:t>
      </w:r>
      <w:r w:rsidR="00424644">
        <w:rPr>
          <w:rFonts w:ascii="Calibri" w:hAnsi="Calibri" w:cs="Calibri"/>
        </w:rPr>
        <w:t>x</w:t>
      </w:r>
      <w:r w:rsidR="00BC3E5B">
        <w:rPr>
          <w:rFonts w:ascii="Calibri" w:hAnsi="Calibri" w:cs="Calibri"/>
        </w:rPr>
        <w:br w:type="page"/>
      </w:r>
    </w:p>
    <w:sdt>
      <w:sdtPr>
        <w:id w:val="-1232462344"/>
        <w:docPartObj>
          <w:docPartGallery w:val="Cover Pages"/>
          <w:docPartUnique/>
        </w:docPartObj>
        <w:rPr>
          <w:rFonts w:ascii="Calibri" w:hAnsi="Calibri" w:eastAsia="游明朝" w:cs="Calibri" w:eastAsiaTheme="minorEastAsia"/>
          <w:caps w:val="1"/>
          <w:color w:val="FFFFFF" w:themeColor="background1"/>
          <w:spacing w:val="15"/>
          <w:kern w:val="0"/>
          <w:sz w:val="22"/>
          <w:szCs w:val="22"/>
          <w:lang w:val="nl-NL"/>
          <w14:ligatures w14:val="none"/>
        </w:rPr>
      </w:sdtPr>
      <w:sdtEndPr>
        <w:rPr>
          <w:rFonts w:ascii="Arial" w:hAnsi="Arial" w:eastAsia="Aptos" w:cs="Arial" w:eastAsiaTheme="minorAscii" w:cstheme="minorBidi"/>
          <w:caps w:val="0"/>
          <w:smallCaps w:val="0"/>
          <w:color w:val="auto"/>
          <w:spacing w:val="0"/>
          <w:kern w:val="2"/>
          <w:sz w:val="24"/>
          <w:szCs w:val="24"/>
          <w:lang w:val="en-US"/>
          <w14:ligatures w14:val="standardContextual"/>
        </w:rPr>
      </w:sdtEndPr>
      <w:sdtContent>
        <w:p w:rsidRPr="00D56364" w:rsidR="00BC3E5B" w:rsidP="00BC3E5B" w:rsidRDefault="00BC3E5B" w14:paraId="219B9ECC" w14:textId="77777777">
          <w:pPr>
            <w:jc w:val="center"/>
          </w:pPr>
        </w:p>
        <w:p w:rsidR="00BC3E5B" w:rsidP="00BC3E5B" w:rsidRDefault="00BC3E5B" w14:paraId="06CBA257" w14:textId="77777777">
          <w:pPr>
            <w:jc w:val="center"/>
            <w:rPr>
              <w:b/>
              <w:bCs/>
              <w:sz w:val="32"/>
              <w:szCs w:val="32"/>
            </w:rPr>
          </w:pPr>
        </w:p>
        <w:p w:rsidR="00404F41" w:rsidP="00BC3E5B" w:rsidRDefault="00404F41" w14:paraId="0E9D92F5" w14:textId="77777777">
          <w:pPr>
            <w:jc w:val="center"/>
            <w:rPr>
              <w:b/>
              <w:bCs/>
              <w:sz w:val="32"/>
              <w:szCs w:val="32"/>
            </w:rPr>
          </w:pPr>
        </w:p>
        <w:p w:rsidRPr="00410E07" w:rsidR="00404F41" w:rsidP="00BC3E5B" w:rsidRDefault="00404F41" w14:paraId="10670C4E" w14:textId="77777777">
          <w:pPr>
            <w:jc w:val="center"/>
            <w:rPr>
              <w:rFonts w:cs="Arial"/>
              <w:b/>
              <w:sz w:val="32"/>
              <w:szCs w:val="32"/>
            </w:rPr>
          </w:pPr>
        </w:p>
        <w:p w:rsidRPr="00410E07" w:rsidR="00BC3E5B" w:rsidP="00BC3E5B" w:rsidRDefault="00BC3E5B" w14:paraId="11780DF1" w14:textId="5DF7CEF6">
          <w:pPr>
            <w:jc w:val="center"/>
            <w:rPr>
              <w:rFonts w:cs="Arial"/>
              <w:b/>
              <w:sz w:val="32"/>
              <w:szCs w:val="32"/>
            </w:rPr>
          </w:pPr>
          <w:r w:rsidRPr="00410E07">
            <w:rPr>
              <w:rFonts w:cs="Arial"/>
              <w:b/>
              <w:sz w:val="32"/>
              <w:szCs w:val="32"/>
            </w:rPr>
            <w:t xml:space="preserve">CitizenCity </w:t>
          </w:r>
        </w:p>
        <w:p w:rsidRPr="00410E07" w:rsidR="00BC3E5B" w:rsidP="00BC3E5B" w:rsidRDefault="00BC3E5B" w14:paraId="4501935B" w14:textId="172F18F7">
          <w:pPr>
            <w:jc w:val="center"/>
            <w:rPr>
              <w:rFonts w:cs="Arial"/>
            </w:rPr>
          </w:pPr>
          <w:proofErr w:type="gramStart"/>
          <w:r w:rsidRPr="00410E07">
            <w:rPr>
              <w:rFonts w:cs="Arial"/>
            </w:rPr>
            <w:t>By</w:t>
          </w:r>
          <w:proofErr w:type="gramEnd"/>
        </w:p>
        <w:p w:rsidRPr="00410E07" w:rsidR="00BC3E5B" w:rsidP="00BC3E5B" w:rsidRDefault="00BC3E5B" w14:paraId="1A5C4CCE" w14:textId="36EF4453">
          <w:pPr>
            <w:jc w:val="center"/>
            <w:rPr>
              <w:rFonts w:cs="Arial"/>
            </w:rPr>
          </w:pPr>
          <w:r w:rsidRPr="00410E07">
            <w:rPr>
              <w:rFonts w:cs="Arial"/>
            </w:rPr>
            <w:t>Tsvetan Hristov, Daniel Sanchez Morales, Bo Hofland, Rick van Esch, Nick van Heugten &amp; Lotte de Haan</w:t>
          </w:r>
        </w:p>
        <w:p w:rsidRPr="00410E07" w:rsidR="00BC3E5B" w:rsidP="00BC3E5B" w:rsidRDefault="00BC3E5B" w14:paraId="7CED1C11" w14:textId="77777777">
          <w:pPr>
            <w:rPr>
              <w:rFonts w:cs="Arial"/>
            </w:rPr>
          </w:pPr>
        </w:p>
        <w:p w:rsidRPr="00410E07" w:rsidR="00BC3E5B" w:rsidP="00BC3E5B" w:rsidRDefault="00BC3E5B" w14:paraId="2F5AB05D" w14:textId="77777777">
          <w:pPr>
            <w:jc w:val="center"/>
            <w:rPr>
              <w:rFonts w:cs="Arial"/>
            </w:rPr>
          </w:pPr>
        </w:p>
        <w:p w:rsidRPr="00410E07" w:rsidR="00BC3E5B" w:rsidP="00BC3E5B" w:rsidRDefault="00BC3E5B" w14:paraId="452CA0BF" w14:textId="001C580E">
          <w:pPr>
            <w:jc w:val="center"/>
            <w:rPr>
              <w:rFonts w:cs="Arial"/>
            </w:rPr>
          </w:pPr>
          <w:r w:rsidRPr="00410E07">
            <w:rPr>
              <w:rFonts w:cs="Arial"/>
            </w:rPr>
            <w:t>5139031, 456376,</w:t>
          </w:r>
          <w:r w:rsidRPr="00410E07" w:rsidR="000934A1">
            <w:rPr>
              <w:rFonts w:cs="Arial"/>
            </w:rPr>
            <w:t xml:space="preserve"> 5069416</w:t>
          </w:r>
          <w:r w:rsidRPr="00410E07">
            <w:rPr>
              <w:rFonts w:cs="Arial"/>
            </w:rPr>
            <w:t xml:space="preserve"> , 532837,</w:t>
          </w:r>
          <w:r w:rsidRPr="00410E07" w:rsidR="00552D3D">
            <w:rPr>
              <w:rFonts w:cs="Arial"/>
            </w:rPr>
            <w:t xml:space="preserve"> 3923738</w:t>
          </w:r>
          <w:r w:rsidRPr="00410E07">
            <w:rPr>
              <w:rFonts w:cs="Arial"/>
            </w:rPr>
            <w:t xml:space="preserve"> , 510426 </w:t>
          </w:r>
        </w:p>
        <w:p w:rsidRPr="00410E07" w:rsidR="00BC3E5B" w:rsidP="00BC3E5B" w:rsidRDefault="00BC3E5B" w14:paraId="5C1FABBB" w14:textId="77777777">
          <w:pPr>
            <w:jc w:val="center"/>
            <w:rPr>
              <w:rFonts w:cs="Arial"/>
            </w:rPr>
          </w:pPr>
          <w:r w:rsidRPr="00410E07">
            <w:rPr>
              <w:rFonts w:cs="Arial"/>
            </w:rPr>
            <w:t>Research Document</w:t>
          </w:r>
        </w:p>
        <w:p w:rsidRPr="00410E07" w:rsidR="00BC3E5B" w:rsidP="00BC3E5B" w:rsidRDefault="00BC3E5B" w14:paraId="460C17CC" w14:textId="77777777">
          <w:pPr>
            <w:jc w:val="center"/>
            <w:rPr>
              <w:rFonts w:cs="Arial"/>
            </w:rPr>
          </w:pPr>
          <w:r w:rsidRPr="00410E07">
            <w:rPr>
              <w:rFonts w:cs="Arial"/>
            </w:rPr>
            <w:t>Business</w:t>
          </w:r>
        </w:p>
        <w:p w:rsidRPr="00410E07" w:rsidR="00BC3E5B" w:rsidP="00BC3E5B" w:rsidRDefault="00BC3E5B" w14:paraId="58F9D868" w14:textId="77777777">
          <w:pPr>
            <w:jc w:val="center"/>
            <w:rPr>
              <w:rFonts w:cs="Arial"/>
            </w:rPr>
          </w:pPr>
          <w:r w:rsidRPr="00410E07">
            <w:rPr>
              <w:rFonts w:cs="Arial"/>
            </w:rPr>
            <w:t>Information and Communication Technology (ICT)</w:t>
          </w:r>
        </w:p>
        <w:p w:rsidRPr="00410E07" w:rsidR="00BC3E5B" w:rsidP="00BC3E5B" w:rsidRDefault="00BC3E5B" w14:paraId="03EFEBD2" w14:textId="77777777">
          <w:pPr>
            <w:jc w:val="center"/>
            <w:rPr>
              <w:rFonts w:cs="Arial"/>
            </w:rPr>
          </w:pPr>
          <w:r w:rsidRPr="00410E07">
            <w:rPr>
              <w:rFonts w:cs="Arial"/>
            </w:rPr>
            <w:t>Fontys Hogeschool</w:t>
          </w:r>
        </w:p>
        <w:p w:rsidRPr="00410E07" w:rsidR="00BC3E5B" w:rsidP="00BC3E5B" w:rsidRDefault="00BC3E5B" w14:paraId="26368931" w14:textId="77777777">
          <w:pPr>
            <w:jc w:val="center"/>
            <w:rPr>
              <w:rFonts w:cs="Arial"/>
            </w:rPr>
          </w:pPr>
        </w:p>
        <w:p w:rsidRPr="00410E07" w:rsidR="00BC3E5B" w:rsidP="00BC3E5B" w:rsidRDefault="00BC3E5B" w14:paraId="1539F598" w14:textId="77777777">
          <w:pPr>
            <w:jc w:val="center"/>
            <w:rPr>
              <w:rFonts w:cs="Arial"/>
            </w:rPr>
          </w:pPr>
          <w:r w:rsidRPr="00410E07">
            <w:rPr>
              <w:rFonts w:cs="Arial"/>
            </w:rPr>
            <w:t>Under the guidance of</w:t>
          </w:r>
          <w:r w:rsidRPr="00410E07">
            <w:rPr>
              <w:rFonts w:cs="Arial"/>
              <w:lang w:val="en-GB"/>
            </w:rPr>
            <w:t xml:space="preserve"> Amália M.A.</w:t>
          </w:r>
          <w:r w:rsidRPr="00410E07">
            <w:rPr>
              <w:rFonts w:cs="Arial"/>
            </w:rPr>
            <w:t xml:space="preserve"> </w:t>
          </w:r>
          <w:r w:rsidRPr="00410E07">
            <w:rPr>
              <w:rFonts w:cs="Arial"/>
              <w:lang w:val="en-GB"/>
            </w:rPr>
            <w:t>Oliveira De Arruda Camara</w:t>
          </w:r>
          <w:r w:rsidRPr="00410E07">
            <w:rPr>
              <w:rFonts w:cs="Arial"/>
            </w:rPr>
            <w:t xml:space="preserve"> &amp; Bart van Gennip</w:t>
          </w:r>
        </w:p>
        <w:p w:rsidRPr="00410E07" w:rsidR="00BC3E5B" w:rsidP="00BC3E5B" w:rsidRDefault="00BC3E5B" w14:paraId="6B8F850F" w14:textId="77777777">
          <w:pPr>
            <w:jc w:val="center"/>
            <w:rPr>
              <w:rFonts w:cs="Arial"/>
              <w:lang w:val="en-GB"/>
            </w:rPr>
          </w:pPr>
        </w:p>
        <w:p w:rsidRPr="00410E07" w:rsidR="00BC3E5B" w:rsidP="00BC3E5B" w:rsidRDefault="00BC3E5B" w14:paraId="7BF07D2B" w14:textId="77777777">
          <w:pPr>
            <w:jc w:val="center"/>
            <w:rPr>
              <w:rFonts w:cs="Arial"/>
            </w:rPr>
          </w:pPr>
          <w:r w:rsidRPr="00410E07">
            <w:rPr>
              <w:rFonts w:cs="Arial"/>
            </w:rPr>
            <w:t>March 17</w:t>
          </w:r>
          <w:r w:rsidRPr="00410E07">
            <w:rPr>
              <w:rFonts w:cs="Arial"/>
              <w:vertAlign w:val="superscript"/>
            </w:rPr>
            <w:t>th</w:t>
          </w:r>
          <w:r w:rsidRPr="00410E07">
            <w:rPr>
              <w:rFonts w:cs="Arial"/>
            </w:rPr>
            <w:t>, 2026</w:t>
          </w:r>
        </w:p>
        <w:p w:rsidR="00BC3E5B" w:rsidP="00BC3E5B" w:rsidRDefault="00BC3E5B" w14:paraId="53FECA0A" w14:textId="24E950BF">
          <w:pPr>
            <w:jc w:val="center"/>
          </w:pPr>
        </w:p>
        <w:p w:rsidR="00494A9C" w:rsidP="00BC3E5B" w:rsidRDefault="00494A9C" w14:paraId="11637526" w14:textId="77777777">
          <w:pPr>
            <w:jc w:val="center"/>
          </w:pPr>
        </w:p>
        <w:p w:rsidR="00494A9C" w:rsidP="00BC3E5B" w:rsidRDefault="00494A9C" w14:paraId="0E4CE687" w14:textId="77777777">
          <w:pPr>
            <w:jc w:val="center"/>
          </w:pPr>
        </w:p>
        <w:p w:rsidR="00494A9C" w:rsidP="00BC3E5B" w:rsidRDefault="00494A9C" w14:paraId="71A8825C" w14:textId="77777777">
          <w:pPr>
            <w:jc w:val="center"/>
          </w:pPr>
        </w:p>
        <w:p w:rsidR="00494A9C" w:rsidP="00BC3E5B" w:rsidRDefault="00494A9C" w14:paraId="0E885F1F" w14:textId="77777777">
          <w:pPr>
            <w:jc w:val="center"/>
          </w:pPr>
        </w:p>
        <w:p w:rsidR="00494A9C" w:rsidP="00BC3E5B" w:rsidRDefault="00494A9C" w14:paraId="7EAFB151" w14:textId="77777777">
          <w:pPr>
            <w:jc w:val="center"/>
          </w:pPr>
        </w:p>
        <w:p w:rsidR="00494A9C" w:rsidP="00BC3E5B" w:rsidRDefault="00494A9C" w14:paraId="6993939E" w14:textId="77777777">
          <w:pPr>
            <w:jc w:val="center"/>
          </w:pPr>
        </w:p>
        <w:p w:rsidR="00494A9C" w:rsidP="00BC3E5B" w:rsidRDefault="00494A9C" w14:paraId="4C10E8FE" w14:textId="77777777">
          <w:pPr>
            <w:jc w:val="center"/>
          </w:pPr>
        </w:p>
        <w:p w:rsidR="00494A9C" w:rsidP="00BC3E5B" w:rsidRDefault="00494A9C" w14:paraId="402973CD" w14:textId="77777777">
          <w:pPr>
            <w:jc w:val="center"/>
          </w:pPr>
        </w:p>
        <w:p w:rsidRPr="00CE1829" w:rsidR="00B67193" w:rsidP="00B67193" w:rsidRDefault="00B62BC9" w14:paraId="6DC4AD9B" w14:textId="480F40A9">
          <w:pPr>
            <w:pStyle w:val="Heading1"/>
            <w:rPr>
              <w:lang w:val="en-US"/>
            </w:rPr>
          </w:pPr>
          <w:bookmarkStart w:name="_Toc231982037" w:id="1"/>
          <w:r w:rsidRPr="00CE1829">
            <w:rPr>
              <w:lang w:val="en-US"/>
            </w:rPr>
            <w:t>Introduction</w:t>
          </w:r>
          <w:bookmarkEnd w:id="1"/>
        </w:p>
        <w:p w:rsidR="00422388" w:rsidP="00B67193" w:rsidRDefault="00B67193" w14:paraId="3611CB18" w14:textId="77777777">
          <w:r w:rsidRPr="00B67193">
            <w:t xml:space="preserve">This research document presents the findings of the CitizenCity project group in response to the main research question: how can data usage within the Inzicht Verlicht dataspace be governed and evaluated in a responsible, transparent, and ethical way? </w:t>
          </w:r>
        </w:p>
        <w:p w:rsidRPr="00404F41" w:rsidR="00D95E7D" w:rsidP="00B67193" w:rsidRDefault="00B67193" w14:paraId="7714C964" w14:textId="46D35FDF">
          <w:r w:rsidRPr="00B67193">
            <w:t>The document is structured around five sub-questions, each addressed through a combination of library, field, showroom, and workshop research methods as defined in the DOT framework. Together, the findings form the evidence base for the governance framework and advisory report that are developed as the main deliverables of this project.</w:t>
          </w:r>
          <w:r w:rsidR="00D95E7D">
            <w:br w:type="page"/>
          </w:r>
        </w:p>
      </w:sdtContent>
    </w:sdt>
    <w:bookmarkStart w:name="_Toc231982038" w:displacedByCustomXml="next" w:id="2"/>
    <w:sdt>
      <w:sdtPr>
        <w:id w:val="-1441143155"/>
        <w:docPartObj>
          <w:docPartGallery w:val="Table of Contents"/>
          <w:docPartUnique/>
        </w:docPartObj>
        <w:rPr>
          <w:rFonts w:ascii="Aptos" w:hAnsi="Aptos" w:eastAsia="Aptos" w:asciiTheme="minorAscii" w:hAnsiTheme="minorAscii" w:eastAsiaTheme="minorAscii"/>
          <w:b w:val="1"/>
          <w:bCs w:val="1"/>
          <w:caps w:val="0"/>
          <w:smallCaps w:val="0"/>
          <w:color w:val="auto"/>
          <w:spacing w:val="0"/>
          <w:kern w:val="2"/>
          <w:sz w:val="24"/>
          <w:szCs w:val="24"/>
          <w:lang w:val="en-US"/>
          <w14:ligatures w14:val="standardContextual"/>
        </w:rPr>
      </w:sdtPr>
      <w:sdtEndPr>
        <w:rPr>
          <w:rFonts w:ascii="Aptos" w:hAnsi="Aptos" w:eastAsia="Aptos" w:cs="Calibri" w:asciiTheme="minorAscii" w:hAnsiTheme="minorAscii" w:eastAsiaTheme="minorAscii"/>
          <w:b w:val="0"/>
          <w:bCs w:val="0"/>
          <w:caps w:val="0"/>
          <w:smallCaps w:val="0"/>
          <w:color w:val="auto"/>
          <w:sz w:val="24"/>
          <w:szCs w:val="24"/>
          <w:lang w:val="en-US"/>
        </w:rPr>
      </w:sdtEndPr>
      <w:sdtContent>
        <w:p w:rsidRPr="00110AFC" w:rsidR="0081774A" w:rsidP="00EB538D" w:rsidRDefault="0081774A" w14:paraId="6E5E19AE" w14:textId="18BAE5C3">
          <w:pPr>
            <w:pStyle w:val="Heading1"/>
            <w:ind w:left="709" w:hanging="709"/>
            <w:rPr>
              <w:rFonts w:cs="Calibri"/>
              <w:b/>
            </w:rPr>
          </w:pPr>
          <w:r w:rsidRPr="00110AFC">
            <w:rPr>
              <w:rFonts w:cs="Calibri"/>
            </w:rPr>
            <w:t>Contents</w:t>
          </w:r>
          <w:bookmarkEnd w:id="2"/>
        </w:p>
        <w:p w:rsidR="00877E02" w:rsidRDefault="0081774A" w14:paraId="144E2BC8" w14:textId="611E34D7">
          <w:pPr>
            <w:pStyle w:val="TOC1"/>
            <w:tabs>
              <w:tab w:val="right" w:leader="dot" w:pos="9016"/>
            </w:tabs>
            <w:rPr>
              <w:rFonts w:asciiTheme="minorHAnsi" w:hAnsiTheme="minorHAnsi" w:eastAsiaTheme="minorEastAsia"/>
              <w:noProof/>
              <w:lang w:val="nl-NL" w:eastAsia="nl-NL"/>
            </w:rPr>
          </w:pPr>
          <w:r w:rsidRPr="00410E07">
            <w:rPr>
              <w:rFonts w:cs="Arial"/>
            </w:rPr>
            <w:fldChar w:fldCharType="begin"/>
          </w:r>
          <w:r w:rsidRPr="00410E07">
            <w:rPr>
              <w:rFonts w:cs="Arial"/>
            </w:rPr>
            <w:instrText xml:space="preserve"> TOC \o "1-3" \h \z \u </w:instrText>
          </w:r>
          <w:r w:rsidRPr="00410E07">
            <w:rPr>
              <w:rFonts w:cs="Arial"/>
            </w:rPr>
            <w:fldChar w:fldCharType="separate"/>
          </w:r>
          <w:hyperlink w:history="1" w:anchor="_Toc231982037">
            <w:r w:rsidRPr="002A3D91" w:rsidR="00877E02">
              <w:rPr>
                <w:rStyle w:val="Hyperlink"/>
                <w:noProof/>
              </w:rPr>
              <w:t>Introduction</w:t>
            </w:r>
            <w:r w:rsidR="00877E02">
              <w:rPr>
                <w:noProof/>
                <w:webHidden/>
              </w:rPr>
              <w:tab/>
            </w:r>
            <w:r w:rsidR="00877E02">
              <w:rPr>
                <w:noProof/>
                <w:webHidden/>
              </w:rPr>
              <w:fldChar w:fldCharType="begin"/>
            </w:r>
            <w:r w:rsidR="00877E02">
              <w:rPr>
                <w:noProof/>
                <w:webHidden/>
              </w:rPr>
              <w:instrText xml:space="preserve"> PAGEREF _Toc231982037 \h </w:instrText>
            </w:r>
            <w:r w:rsidR="00877E02">
              <w:rPr>
                <w:noProof/>
                <w:webHidden/>
              </w:rPr>
            </w:r>
            <w:r w:rsidR="00877E02">
              <w:rPr>
                <w:noProof/>
                <w:webHidden/>
              </w:rPr>
              <w:fldChar w:fldCharType="separate"/>
            </w:r>
            <w:r w:rsidR="00877E02">
              <w:rPr>
                <w:noProof/>
                <w:webHidden/>
              </w:rPr>
              <w:t>2</w:t>
            </w:r>
            <w:r w:rsidR="00877E02">
              <w:rPr>
                <w:noProof/>
                <w:webHidden/>
              </w:rPr>
              <w:fldChar w:fldCharType="end"/>
            </w:r>
          </w:hyperlink>
        </w:p>
        <w:p w:rsidR="00877E02" w:rsidRDefault="00877E02" w14:paraId="15F243FB" w14:textId="081689B7">
          <w:pPr>
            <w:pStyle w:val="TOC1"/>
            <w:tabs>
              <w:tab w:val="right" w:leader="dot" w:pos="9016"/>
            </w:tabs>
            <w:rPr>
              <w:rFonts w:asciiTheme="minorHAnsi" w:hAnsiTheme="minorHAnsi" w:eastAsiaTheme="minorEastAsia"/>
              <w:noProof/>
              <w:lang w:val="nl-NL" w:eastAsia="nl-NL"/>
            </w:rPr>
          </w:pPr>
          <w:hyperlink w:history="1" w:anchor="_Toc231982038">
            <w:r w:rsidRPr="002A3D91">
              <w:rPr>
                <w:rStyle w:val="Hyperlink"/>
                <w:rFonts w:cs="Calibri"/>
                <w:noProof/>
              </w:rPr>
              <w:t>Contents</w:t>
            </w:r>
            <w:r>
              <w:rPr>
                <w:noProof/>
                <w:webHidden/>
              </w:rPr>
              <w:tab/>
            </w:r>
            <w:r>
              <w:rPr>
                <w:noProof/>
                <w:webHidden/>
              </w:rPr>
              <w:fldChar w:fldCharType="begin"/>
            </w:r>
            <w:r>
              <w:rPr>
                <w:noProof/>
                <w:webHidden/>
              </w:rPr>
              <w:instrText xml:space="preserve"> PAGEREF _Toc231982038 \h </w:instrText>
            </w:r>
            <w:r>
              <w:rPr>
                <w:noProof/>
                <w:webHidden/>
              </w:rPr>
            </w:r>
            <w:r>
              <w:rPr>
                <w:noProof/>
                <w:webHidden/>
              </w:rPr>
              <w:fldChar w:fldCharType="separate"/>
            </w:r>
            <w:r>
              <w:rPr>
                <w:noProof/>
                <w:webHidden/>
              </w:rPr>
              <w:t>3</w:t>
            </w:r>
            <w:r>
              <w:rPr>
                <w:noProof/>
                <w:webHidden/>
              </w:rPr>
              <w:fldChar w:fldCharType="end"/>
            </w:r>
          </w:hyperlink>
        </w:p>
        <w:p w:rsidR="00877E02" w:rsidRDefault="00877E02" w14:paraId="0A26A561" w14:textId="1F8ECFB0">
          <w:pPr>
            <w:pStyle w:val="TOC1"/>
            <w:tabs>
              <w:tab w:val="right" w:leader="dot" w:pos="9016"/>
            </w:tabs>
            <w:rPr>
              <w:rFonts w:asciiTheme="minorHAnsi" w:hAnsiTheme="minorHAnsi" w:eastAsiaTheme="minorEastAsia"/>
              <w:noProof/>
              <w:lang w:val="nl-NL" w:eastAsia="nl-NL"/>
            </w:rPr>
          </w:pPr>
          <w:hyperlink w:history="1" w:anchor="_Toc231982039">
            <w:r w:rsidRPr="002A3D91">
              <w:rPr>
                <w:rStyle w:val="Hyperlink"/>
                <w:rFonts w:cs="Calibri"/>
                <w:bCs/>
                <w:noProof/>
                <w:lang w:val="en-GB"/>
              </w:rPr>
              <w:t xml:space="preserve">1. </w:t>
            </w:r>
            <w:r w:rsidRPr="002A3D91">
              <w:rPr>
                <w:rStyle w:val="Hyperlink"/>
                <w:rFonts w:cs="Calibri"/>
                <w:noProof/>
                <w:lang w:val="en-GB"/>
              </w:rPr>
              <w:t>Questions</w:t>
            </w:r>
            <w:r>
              <w:rPr>
                <w:noProof/>
                <w:webHidden/>
              </w:rPr>
              <w:tab/>
            </w:r>
            <w:r>
              <w:rPr>
                <w:noProof/>
                <w:webHidden/>
              </w:rPr>
              <w:fldChar w:fldCharType="begin"/>
            </w:r>
            <w:r>
              <w:rPr>
                <w:noProof/>
                <w:webHidden/>
              </w:rPr>
              <w:instrText xml:space="preserve"> PAGEREF _Toc231982039 \h </w:instrText>
            </w:r>
            <w:r>
              <w:rPr>
                <w:noProof/>
                <w:webHidden/>
              </w:rPr>
            </w:r>
            <w:r>
              <w:rPr>
                <w:noProof/>
                <w:webHidden/>
              </w:rPr>
              <w:fldChar w:fldCharType="separate"/>
            </w:r>
            <w:r>
              <w:rPr>
                <w:noProof/>
                <w:webHidden/>
              </w:rPr>
              <w:t>4</w:t>
            </w:r>
            <w:r>
              <w:rPr>
                <w:noProof/>
                <w:webHidden/>
              </w:rPr>
              <w:fldChar w:fldCharType="end"/>
            </w:r>
          </w:hyperlink>
        </w:p>
        <w:p w:rsidR="00877E02" w:rsidRDefault="00877E02" w14:paraId="07A32404" w14:textId="708F0E93">
          <w:pPr>
            <w:pStyle w:val="TOC2"/>
            <w:tabs>
              <w:tab w:val="right" w:leader="dot" w:pos="9016"/>
            </w:tabs>
            <w:rPr>
              <w:rFonts w:asciiTheme="minorHAnsi" w:hAnsiTheme="minorHAnsi" w:eastAsiaTheme="minorEastAsia"/>
              <w:noProof/>
              <w:lang w:val="nl-NL" w:eastAsia="nl-NL"/>
            </w:rPr>
          </w:pPr>
          <w:hyperlink w:history="1" w:anchor="_Toc231982040">
            <w:r w:rsidRPr="002A3D91">
              <w:rPr>
                <w:rStyle w:val="Hyperlink"/>
                <w:noProof/>
                <w:lang w:val="en-GB"/>
              </w:rPr>
              <w:t>1.1 Main Question:</w:t>
            </w:r>
            <w:r>
              <w:rPr>
                <w:noProof/>
                <w:webHidden/>
              </w:rPr>
              <w:tab/>
            </w:r>
            <w:r>
              <w:rPr>
                <w:noProof/>
                <w:webHidden/>
              </w:rPr>
              <w:fldChar w:fldCharType="begin"/>
            </w:r>
            <w:r>
              <w:rPr>
                <w:noProof/>
                <w:webHidden/>
              </w:rPr>
              <w:instrText xml:space="preserve"> PAGEREF _Toc231982040 \h </w:instrText>
            </w:r>
            <w:r>
              <w:rPr>
                <w:noProof/>
                <w:webHidden/>
              </w:rPr>
            </w:r>
            <w:r>
              <w:rPr>
                <w:noProof/>
                <w:webHidden/>
              </w:rPr>
              <w:fldChar w:fldCharType="separate"/>
            </w:r>
            <w:r>
              <w:rPr>
                <w:noProof/>
                <w:webHidden/>
              </w:rPr>
              <w:t>4</w:t>
            </w:r>
            <w:r>
              <w:rPr>
                <w:noProof/>
                <w:webHidden/>
              </w:rPr>
              <w:fldChar w:fldCharType="end"/>
            </w:r>
          </w:hyperlink>
        </w:p>
        <w:p w:rsidR="00877E02" w:rsidRDefault="00877E02" w14:paraId="18A957E7" w14:textId="1A4A6C94">
          <w:pPr>
            <w:pStyle w:val="TOC2"/>
            <w:tabs>
              <w:tab w:val="right" w:leader="dot" w:pos="9016"/>
            </w:tabs>
            <w:rPr>
              <w:rFonts w:asciiTheme="minorHAnsi" w:hAnsiTheme="minorHAnsi" w:eastAsiaTheme="minorEastAsia"/>
              <w:noProof/>
              <w:lang w:val="nl-NL" w:eastAsia="nl-NL"/>
            </w:rPr>
          </w:pPr>
          <w:hyperlink w:history="1" w:anchor="_Toc231982041">
            <w:r w:rsidRPr="002A3D91">
              <w:rPr>
                <w:rStyle w:val="Hyperlink"/>
                <w:noProof/>
              </w:rPr>
              <w:t>1.2 Sub-Question:</w:t>
            </w:r>
            <w:r>
              <w:rPr>
                <w:noProof/>
                <w:webHidden/>
              </w:rPr>
              <w:tab/>
            </w:r>
            <w:r>
              <w:rPr>
                <w:noProof/>
                <w:webHidden/>
              </w:rPr>
              <w:fldChar w:fldCharType="begin"/>
            </w:r>
            <w:r>
              <w:rPr>
                <w:noProof/>
                <w:webHidden/>
              </w:rPr>
              <w:instrText xml:space="preserve"> PAGEREF _Toc231982041 \h </w:instrText>
            </w:r>
            <w:r>
              <w:rPr>
                <w:noProof/>
                <w:webHidden/>
              </w:rPr>
            </w:r>
            <w:r>
              <w:rPr>
                <w:noProof/>
                <w:webHidden/>
              </w:rPr>
              <w:fldChar w:fldCharType="separate"/>
            </w:r>
            <w:r>
              <w:rPr>
                <w:noProof/>
                <w:webHidden/>
              </w:rPr>
              <w:t>4</w:t>
            </w:r>
            <w:r>
              <w:rPr>
                <w:noProof/>
                <w:webHidden/>
              </w:rPr>
              <w:fldChar w:fldCharType="end"/>
            </w:r>
          </w:hyperlink>
        </w:p>
        <w:p w:rsidR="00877E02" w:rsidRDefault="00877E02" w14:paraId="339DFBB8" w14:textId="4E5B44CF">
          <w:pPr>
            <w:pStyle w:val="TOC1"/>
            <w:tabs>
              <w:tab w:val="right" w:leader="dot" w:pos="9016"/>
            </w:tabs>
            <w:rPr>
              <w:rFonts w:asciiTheme="minorHAnsi" w:hAnsiTheme="minorHAnsi" w:eastAsiaTheme="minorEastAsia"/>
              <w:noProof/>
              <w:lang w:val="nl-NL" w:eastAsia="nl-NL"/>
            </w:rPr>
          </w:pPr>
          <w:hyperlink w:history="1" w:anchor="_Toc231982042">
            <w:r w:rsidRPr="002A3D91">
              <w:rPr>
                <w:rStyle w:val="Hyperlink"/>
                <w:rFonts w:cs="Calibri"/>
                <w:bCs/>
                <w:noProof/>
                <w:lang w:val="en-GB"/>
              </w:rPr>
              <w:t xml:space="preserve">2. </w:t>
            </w:r>
            <w:r w:rsidRPr="002A3D91">
              <w:rPr>
                <w:rStyle w:val="Hyperlink"/>
                <w:rFonts w:cs="Calibri"/>
                <w:noProof/>
                <w:lang w:val="en-GB"/>
              </w:rPr>
              <w:t>Main Question</w:t>
            </w:r>
            <w:r>
              <w:rPr>
                <w:noProof/>
                <w:webHidden/>
              </w:rPr>
              <w:tab/>
            </w:r>
            <w:r>
              <w:rPr>
                <w:noProof/>
                <w:webHidden/>
              </w:rPr>
              <w:fldChar w:fldCharType="begin"/>
            </w:r>
            <w:r>
              <w:rPr>
                <w:noProof/>
                <w:webHidden/>
              </w:rPr>
              <w:instrText xml:space="preserve"> PAGEREF _Toc231982042 \h </w:instrText>
            </w:r>
            <w:r>
              <w:rPr>
                <w:noProof/>
                <w:webHidden/>
              </w:rPr>
            </w:r>
            <w:r>
              <w:rPr>
                <w:noProof/>
                <w:webHidden/>
              </w:rPr>
              <w:fldChar w:fldCharType="separate"/>
            </w:r>
            <w:r>
              <w:rPr>
                <w:noProof/>
                <w:webHidden/>
              </w:rPr>
              <w:t>5</w:t>
            </w:r>
            <w:r>
              <w:rPr>
                <w:noProof/>
                <w:webHidden/>
              </w:rPr>
              <w:fldChar w:fldCharType="end"/>
            </w:r>
          </w:hyperlink>
        </w:p>
        <w:p w:rsidR="00877E02" w:rsidRDefault="00877E02" w14:paraId="4ECE85EA" w14:textId="1E092E6C">
          <w:pPr>
            <w:pStyle w:val="TOC1"/>
            <w:tabs>
              <w:tab w:val="right" w:leader="dot" w:pos="9016"/>
            </w:tabs>
            <w:rPr>
              <w:rFonts w:asciiTheme="minorHAnsi" w:hAnsiTheme="minorHAnsi" w:eastAsiaTheme="minorEastAsia"/>
              <w:noProof/>
              <w:lang w:val="nl-NL" w:eastAsia="nl-NL"/>
            </w:rPr>
          </w:pPr>
          <w:hyperlink w:history="1" w:anchor="_Toc231982043">
            <w:r w:rsidRPr="002A3D91">
              <w:rPr>
                <w:rStyle w:val="Hyperlink"/>
                <w:rFonts w:cs="Calibri"/>
                <w:bCs/>
                <w:noProof/>
                <w:lang w:val="en-GB"/>
              </w:rPr>
              <w:t xml:space="preserve">3. </w:t>
            </w:r>
            <w:r w:rsidRPr="002A3D91">
              <w:rPr>
                <w:rStyle w:val="Hyperlink"/>
                <w:rFonts w:cs="Calibri"/>
                <w:noProof/>
                <w:lang w:val="en-GB"/>
              </w:rPr>
              <w:t>Question 1:</w:t>
            </w:r>
            <w:r>
              <w:rPr>
                <w:noProof/>
                <w:webHidden/>
              </w:rPr>
              <w:tab/>
            </w:r>
            <w:r>
              <w:rPr>
                <w:noProof/>
                <w:webHidden/>
              </w:rPr>
              <w:fldChar w:fldCharType="begin"/>
            </w:r>
            <w:r>
              <w:rPr>
                <w:noProof/>
                <w:webHidden/>
              </w:rPr>
              <w:instrText xml:space="preserve"> PAGEREF _Toc231982043 \h </w:instrText>
            </w:r>
            <w:r>
              <w:rPr>
                <w:noProof/>
                <w:webHidden/>
              </w:rPr>
            </w:r>
            <w:r>
              <w:rPr>
                <w:noProof/>
                <w:webHidden/>
              </w:rPr>
              <w:fldChar w:fldCharType="separate"/>
            </w:r>
            <w:r>
              <w:rPr>
                <w:noProof/>
                <w:webHidden/>
              </w:rPr>
              <w:t>6</w:t>
            </w:r>
            <w:r>
              <w:rPr>
                <w:noProof/>
                <w:webHidden/>
              </w:rPr>
              <w:fldChar w:fldCharType="end"/>
            </w:r>
          </w:hyperlink>
        </w:p>
        <w:p w:rsidR="00877E02" w:rsidRDefault="00877E02" w14:paraId="63F44FD0" w14:textId="6E6B581F">
          <w:pPr>
            <w:pStyle w:val="TOC2"/>
            <w:tabs>
              <w:tab w:val="left" w:pos="960"/>
              <w:tab w:val="right" w:leader="dot" w:pos="9016"/>
            </w:tabs>
            <w:rPr>
              <w:rFonts w:asciiTheme="minorHAnsi" w:hAnsiTheme="minorHAnsi" w:eastAsiaTheme="minorEastAsia"/>
              <w:noProof/>
              <w:lang w:val="nl-NL" w:eastAsia="nl-NL"/>
            </w:rPr>
          </w:pPr>
          <w:hyperlink w:history="1" w:anchor="_Toc231982044">
            <w:r w:rsidRPr="002A3D91">
              <w:rPr>
                <w:rStyle w:val="Hyperlink"/>
                <w:rFonts w:cs="Calibri"/>
                <w:bCs/>
                <w:noProof/>
              </w:rPr>
              <w:t>3.1</w:t>
            </w:r>
            <w:r>
              <w:rPr>
                <w:rFonts w:asciiTheme="minorHAnsi" w:hAnsiTheme="minorHAnsi" w:eastAsiaTheme="minorEastAsia"/>
                <w:noProof/>
                <w:lang w:val="nl-NL" w:eastAsia="nl-NL"/>
              </w:rPr>
              <w:tab/>
            </w:r>
            <w:r w:rsidRPr="002A3D91">
              <w:rPr>
                <w:rStyle w:val="Hyperlink"/>
                <w:rFonts w:cs="Calibri"/>
                <w:bCs/>
                <w:noProof/>
              </w:rPr>
              <w:t>Library</w:t>
            </w:r>
            <w:r>
              <w:rPr>
                <w:noProof/>
                <w:webHidden/>
              </w:rPr>
              <w:tab/>
            </w:r>
            <w:r>
              <w:rPr>
                <w:noProof/>
                <w:webHidden/>
              </w:rPr>
              <w:fldChar w:fldCharType="begin"/>
            </w:r>
            <w:r>
              <w:rPr>
                <w:noProof/>
                <w:webHidden/>
              </w:rPr>
              <w:instrText xml:space="preserve"> PAGEREF _Toc231982044 \h </w:instrText>
            </w:r>
            <w:r>
              <w:rPr>
                <w:noProof/>
                <w:webHidden/>
              </w:rPr>
            </w:r>
            <w:r>
              <w:rPr>
                <w:noProof/>
                <w:webHidden/>
              </w:rPr>
              <w:fldChar w:fldCharType="separate"/>
            </w:r>
            <w:r>
              <w:rPr>
                <w:noProof/>
                <w:webHidden/>
              </w:rPr>
              <w:t>7</w:t>
            </w:r>
            <w:r>
              <w:rPr>
                <w:noProof/>
                <w:webHidden/>
              </w:rPr>
              <w:fldChar w:fldCharType="end"/>
            </w:r>
          </w:hyperlink>
        </w:p>
        <w:p w:rsidR="00877E02" w:rsidRDefault="00877E02" w14:paraId="2EA6D301" w14:textId="256BBC43">
          <w:pPr>
            <w:pStyle w:val="TOC2"/>
            <w:tabs>
              <w:tab w:val="left" w:pos="960"/>
              <w:tab w:val="right" w:leader="dot" w:pos="9016"/>
            </w:tabs>
            <w:rPr>
              <w:rFonts w:asciiTheme="minorHAnsi" w:hAnsiTheme="minorHAnsi" w:eastAsiaTheme="minorEastAsia"/>
              <w:noProof/>
              <w:lang w:val="nl-NL" w:eastAsia="nl-NL"/>
            </w:rPr>
          </w:pPr>
          <w:hyperlink w:history="1" w:anchor="_Toc231982045">
            <w:r w:rsidRPr="002A3D91">
              <w:rPr>
                <w:rStyle w:val="Hyperlink"/>
                <w:rFonts w:cs="Calibri"/>
                <w:bCs/>
                <w:noProof/>
              </w:rPr>
              <w:t>3.2</w:t>
            </w:r>
            <w:r>
              <w:rPr>
                <w:rFonts w:asciiTheme="minorHAnsi" w:hAnsiTheme="minorHAnsi" w:eastAsiaTheme="minorEastAsia"/>
                <w:noProof/>
                <w:lang w:val="nl-NL" w:eastAsia="nl-NL"/>
              </w:rPr>
              <w:tab/>
            </w:r>
            <w:r w:rsidRPr="002A3D91">
              <w:rPr>
                <w:rStyle w:val="Hyperlink"/>
                <w:rFonts w:cs="Calibri"/>
                <w:bCs/>
                <w:noProof/>
              </w:rPr>
              <w:t>Showroom</w:t>
            </w:r>
            <w:r>
              <w:rPr>
                <w:noProof/>
                <w:webHidden/>
              </w:rPr>
              <w:tab/>
            </w:r>
            <w:r>
              <w:rPr>
                <w:noProof/>
                <w:webHidden/>
              </w:rPr>
              <w:fldChar w:fldCharType="begin"/>
            </w:r>
            <w:r>
              <w:rPr>
                <w:noProof/>
                <w:webHidden/>
              </w:rPr>
              <w:instrText xml:space="preserve"> PAGEREF _Toc231982045 \h </w:instrText>
            </w:r>
            <w:r>
              <w:rPr>
                <w:noProof/>
                <w:webHidden/>
              </w:rPr>
            </w:r>
            <w:r>
              <w:rPr>
                <w:noProof/>
                <w:webHidden/>
              </w:rPr>
              <w:fldChar w:fldCharType="separate"/>
            </w:r>
            <w:r>
              <w:rPr>
                <w:noProof/>
                <w:webHidden/>
              </w:rPr>
              <w:t>7</w:t>
            </w:r>
            <w:r>
              <w:rPr>
                <w:noProof/>
                <w:webHidden/>
              </w:rPr>
              <w:fldChar w:fldCharType="end"/>
            </w:r>
          </w:hyperlink>
        </w:p>
        <w:p w:rsidR="00877E02" w:rsidRDefault="00877E02" w14:paraId="50F98B2E" w14:textId="06AAD161">
          <w:pPr>
            <w:pStyle w:val="TOC2"/>
            <w:tabs>
              <w:tab w:val="left" w:pos="960"/>
              <w:tab w:val="right" w:leader="dot" w:pos="9016"/>
            </w:tabs>
            <w:rPr>
              <w:rFonts w:asciiTheme="minorHAnsi" w:hAnsiTheme="minorHAnsi" w:eastAsiaTheme="minorEastAsia"/>
              <w:noProof/>
              <w:lang w:val="nl-NL" w:eastAsia="nl-NL"/>
            </w:rPr>
          </w:pPr>
          <w:hyperlink w:history="1" w:anchor="_Toc231982046">
            <w:r w:rsidRPr="002A3D91">
              <w:rPr>
                <w:rStyle w:val="Hyperlink"/>
                <w:rFonts w:cs="Calibri"/>
                <w:noProof/>
                <w:lang w:val="en-GB"/>
              </w:rPr>
              <w:t>3.3</w:t>
            </w:r>
            <w:r>
              <w:rPr>
                <w:rFonts w:asciiTheme="minorHAnsi" w:hAnsiTheme="minorHAnsi" w:eastAsiaTheme="minorEastAsia"/>
                <w:noProof/>
                <w:lang w:val="nl-NL" w:eastAsia="nl-NL"/>
              </w:rPr>
              <w:tab/>
            </w:r>
            <w:r w:rsidRPr="002A3D91">
              <w:rPr>
                <w:rStyle w:val="Hyperlink"/>
                <w:rFonts w:cs="Calibri"/>
                <w:noProof/>
                <w:lang w:val="en-GB"/>
              </w:rPr>
              <w:t>Workshop</w:t>
            </w:r>
            <w:r>
              <w:rPr>
                <w:noProof/>
                <w:webHidden/>
              </w:rPr>
              <w:tab/>
            </w:r>
            <w:r>
              <w:rPr>
                <w:noProof/>
                <w:webHidden/>
              </w:rPr>
              <w:fldChar w:fldCharType="begin"/>
            </w:r>
            <w:r>
              <w:rPr>
                <w:noProof/>
                <w:webHidden/>
              </w:rPr>
              <w:instrText xml:space="preserve"> PAGEREF _Toc231982046 \h </w:instrText>
            </w:r>
            <w:r>
              <w:rPr>
                <w:noProof/>
                <w:webHidden/>
              </w:rPr>
            </w:r>
            <w:r>
              <w:rPr>
                <w:noProof/>
                <w:webHidden/>
              </w:rPr>
              <w:fldChar w:fldCharType="separate"/>
            </w:r>
            <w:r>
              <w:rPr>
                <w:noProof/>
                <w:webHidden/>
              </w:rPr>
              <w:t>9</w:t>
            </w:r>
            <w:r>
              <w:rPr>
                <w:noProof/>
                <w:webHidden/>
              </w:rPr>
              <w:fldChar w:fldCharType="end"/>
            </w:r>
          </w:hyperlink>
        </w:p>
        <w:p w:rsidR="00877E02" w:rsidRDefault="00877E02" w14:paraId="105D37EF" w14:textId="470F7B43">
          <w:pPr>
            <w:pStyle w:val="TOC3"/>
            <w:tabs>
              <w:tab w:val="right" w:leader="dot" w:pos="9016"/>
            </w:tabs>
            <w:rPr>
              <w:noProof/>
            </w:rPr>
          </w:pPr>
          <w:hyperlink w:history="1" w:anchor="_Toc231982047">
            <w:r w:rsidRPr="002A3D91">
              <w:rPr>
                <w:rStyle w:val="Hyperlink"/>
                <w:noProof/>
              </w:rPr>
              <w:t>3.3.1 Privacy</w:t>
            </w:r>
            <w:r>
              <w:rPr>
                <w:noProof/>
                <w:webHidden/>
              </w:rPr>
              <w:tab/>
            </w:r>
            <w:r>
              <w:rPr>
                <w:noProof/>
                <w:webHidden/>
              </w:rPr>
              <w:fldChar w:fldCharType="begin"/>
            </w:r>
            <w:r>
              <w:rPr>
                <w:noProof/>
                <w:webHidden/>
              </w:rPr>
              <w:instrText xml:space="preserve"> PAGEREF _Toc231982047 \h </w:instrText>
            </w:r>
            <w:r>
              <w:rPr>
                <w:noProof/>
                <w:webHidden/>
              </w:rPr>
            </w:r>
            <w:r>
              <w:rPr>
                <w:noProof/>
                <w:webHidden/>
              </w:rPr>
              <w:fldChar w:fldCharType="separate"/>
            </w:r>
            <w:r>
              <w:rPr>
                <w:noProof/>
                <w:webHidden/>
              </w:rPr>
              <w:t>10</w:t>
            </w:r>
            <w:r>
              <w:rPr>
                <w:noProof/>
                <w:webHidden/>
              </w:rPr>
              <w:fldChar w:fldCharType="end"/>
            </w:r>
          </w:hyperlink>
        </w:p>
        <w:p w:rsidR="00877E02" w:rsidRDefault="00877E02" w14:paraId="63378598" w14:textId="58B4208B">
          <w:pPr>
            <w:pStyle w:val="TOC3"/>
            <w:tabs>
              <w:tab w:val="right" w:leader="dot" w:pos="9016"/>
            </w:tabs>
            <w:rPr>
              <w:noProof/>
            </w:rPr>
          </w:pPr>
          <w:hyperlink w:history="1" w:anchor="_Toc231982048">
            <w:r w:rsidRPr="002A3D91">
              <w:rPr>
                <w:rStyle w:val="Hyperlink"/>
                <w:noProof/>
              </w:rPr>
              <w:t>3.3.2 Equity</w:t>
            </w:r>
            <w:r>
              <w:rPr>
                <w:noProof/>
                <w:webHidden/>
              </w:rPr>
              <w:tab/>
            </w:r>
            <w:r>
              <w:rPr>
                <w:noProof/>
                <w:webHidden/>
              </w:rPr>
              <w:fldChar w:fldCharType="begin"/>
            </w:r>
            <w:r>
              <w:rPr>
                <w:noProof/>
                <w:webHidden/>
              </w:rPr>
              <w:instrText xml:space="preserve"> PAGEREF _Toc231982048 \h </w:instrText>
            </w:r>
            <w:r>
              <w:rPr>
                <w:noProof/>
                <w:webHidden/>
              </w:rPr>
            </w:r>
            <w:r>
              <w:rPr>
                <w:noProof/>
                <w:webHidden/>
              </w:rPr>
              <w:fldChar w:fldCharType="separate"/>
            </w:r>
            <w:r>
              <w:rPr>
                <w:noProof/>
                <w:webHidden/>
              </w:rPr>
              <w:t>10</w:t>
            </w:r>
            <w:r>
              <w:rPr>
                <w:noProof/>
                <w:webHidden/>
              </w:rPr>
              <w:fldChar w:fldCharType="end"/>
            </w:r>
          </w:hyperlink>
        </w:p>
        <w:p w:rsidR="00877E02" w:rsidRDefault="00877E02" w14:paraId="640CF3C7" w14:textId="7767E8B6">
          <w:pPr>
            <w:pStyle w:val="TOC3"/>
            <w:tabs>
              <w:tab w:val="right" w:leader="dot" w:pos="9016"/>
            </w:tabs>
            <w:rPr>
              <w:noProof/>
            </w:rPr>
          </w:pPr>
          <w:hyperlink w:history="1" w:anchor="_Toc231982049">
            <w:r w:rsidRPr="002A3D91">
              <w:rPr>
                <w:rStyle w:val="Hyperlink"/>
                <w:noProof/>
              </w:rPr>
              <w:t>3.3.3 Trust</w:t>
            </w:r>
            <w:r>
              <w:rPr>
                <w:noProof/>
                <w:webHidden/>
              </w:rPr>
              <w:tab/>
            </w:r>
            <w:r>
              <w:rPr>
                <w:noProof/>
                <w:webHidden/>
              </w:rPr>
              <w:fldChar w:fldCharType="begin"/>
            </w:r>
            <w:r>
              <w:rPr>
                <w:noProof/>
                <w:webHidden/>
              </w:rPr>
              <w:instrText xml:space="preserve"> PAGEREF _Toc231982049 \h </w:instrText>
            </w:r>
            <w:r>
              <w:rPr>
                <w:noProof/>
                <w:webHidden/>
              </w:rPr>
            </w:r>
            <w:r>
              <w:rPr>
                <w:noProof/>
                <w:webHidden/>
              </w:rPr>
              <w:fldChar w:fldCharType="separate"/>
            </w:r>
            <w:r>
              <w:rPr>
                <w:noProof/>
                <w:webHidden/>
              </w:rPr>
              <w:t>10</w:t>
            </w:r>
            <w:r>
              <w:rPr>
                <w:noProof/>
                <w:webHidden/>
              </w:rPr>
              <w:fldChar w:fldCharType="end"/>
            </w:r>
          </w:hyperlink>
        </w:p>
        <w:p w:rsidR="00877E02" w:rsidRDefault="00877E02" w14:paraId="5FF11825" w14:textId="02EA46E1">
          <w:pPr>
            <w:pStyle w:val="TOC3"/>
            <w:tabs>
              <w:tab w:val="right" w:leader="dot" w:pos="9016"/>
            </w:tabs>
            <w:rPr>
              <w:noProof/>
            </w:rPr>
          </w:pPr>
          <w:hyperlink w:history="1" w:anchor="_Toc231982050">
            <w:r w:rsidRPr="002A3D91">
              <w:rPr>
                <w:rStyle w:val="Hyperlink"/>
                <w:noProof/>
              </w:rPr>
              <w:t>3.3.4 Governance</w:t>
            </w:r>
            <w:r>
              <w:rPr>
                <w:noProof/>
                <w:webHidden/>
              </w:rPr>
              <w:tab/>
            </w:r>
            <w:r>
              <w:rPr>
                <w:noProof/>
                <w:webHidden/>
              </w:rPr>
              <w:fldChar w:fldCharType="begin"/>
            </w:r>
            <w:r>
              <w:rPr>
                <w:noProof/>
                <w:webHidden/>
              </w:rPr>
              <w:instrText xml:space="preserve"> PAGEREF _Toc231982050 \h </w:instrText>
            </w:r>
            <w:r>
              <w:rPr>
                <w:noProof/>
                <w:webHidden/>
              </w:rPr>
            </w:r>
            <w:r>
              <w:rPr>
                <w:noProof/>
                <w:webHidden/>
              </w:rPr>
              <w:fldChar w:fldCharType="separate"/>
            </w:r>
            <w:r>
              <w:rPr>
                <w:noProof/>
                <w:webHidden/>
              </w:rPr>
              <w:t>10</w:t>
            </w:r>
            <w:r>
              <w:rPr>
                <w:noProof/>
                <w:webHidden/>
              </w:rPr>
              <w:fldChar w:fldCharType="end"/>
            </w:r>
          </w:hyperlink>
        </w:p>
        <w:p w:rsidR="00877E02" w:rsidRDefault="00877E02" w14:paraId="3F383123" w14:textId="5AF3E7D0">
          <w:pPr>
            <w:pStyle w:val="TOC3"/>
            <w:tabs>
              <w:tab w:val="right" w:leader="dot" w:pos="9016"/>
            </w:tabs>
            <w:rPr>
              <w:noProof/>
            </w:rPr>
          </w:pPr>
          <w:hyperlink w:history="1" w:anchor="_Toc231982051">
            <w:r w:rsidRPr="002A3D91">
              <w:rPr>
                <w:rStyle w:val="Hyperlink"/>
                <w:noProof/>
              </w:rPr>
              <w:t>3.3.5 Human-centered design</w:t>
            </w:r>
            <w:r>
              <w:rPr>
                <w:noProof/>
                <w:webHidden/>
              </w:rPr>
              <w:tab/>
            </w:r>
            <w:r>
              <w:rPr>
                <w:noProof/>
                <w:webHidden/>
              </w:rPr>
              <w:fldChar w:fldCharType="begin"/>
            </w:r>
            <w:r>
              <w:rPr>
                <w:noProof/>
                <w:webHidden/>
              </w:rPr>
              <w:instrText xml:space="preserve"> PAGEREF _Toc231982051 \h </w:instrText>
            </w:r>
            <w:r>
              <w:rPr>
                <w:noProof/>
                <w:webHidden/>
              </w:rPr>
            </w:r>
            <w:r>
              <w:rPr>
                <w:noProof/>
                <w:webHidden/>
              </w:rPr>
              <w:fldChar w:fldCharType="separate"/>
            </w:r>
            <w:r>
              <w:rPr>
                <w:noProof/>
                <w:webHidden/>
              </w:rPr>
              <w:t>10</w:t>
            </w:r>
            <w:r>
              <w:rPr>
                <w:noProof/>
                <w:webHidden/>
              </w:rPr>
              <w:fldChar w:fldCharType="end"/>
            </w:r>
          </w:hyperlink>
        </w:p>
        <w:p w:rsidR="00877E02" w:rsidRDefault="00877E02" w14:paraId="69C1E28E" w14:textId="5A86C730">
          <w:pPr>
            <w:pStyle w:val="TOC2"/>
            <w:tabs>
              <w:tab w:val="left" w:pos="960"/>
              <w:tab w:val="right" w:leader="dot" w:pos="9016"/>
            </w:tabs>
            <w:rPr>
              <w:rFonts w:asciiTheme="minorHAnsi" w:hAnsiTheme="minorHAnsi" w:eastAsiaTheme="minorEastAsia"/>
              <w:noProof/>
              <w:lang w:val="nl-NL" w:eastAsia="nl-NL"/>
            </w:rPr>
          </w:pPr>
          <w:hyperlink w:history="1" w:anchor="_Toc231982052">
            <w:r w:rsidRPr="002A3D91">
              <w:rPr>
                <w:rStyle w:val="Hyperlink"/>
                <w:rFonts w:cs="Calibri"/>
                <w:noProof/>
              </w:rPr>
              <w:t>3.4</w:t>
            </w:r>
            <w:r>
              <w:rPr>
                <w:rFonts w:asciiTheme="minorHAnsi" w:hAnsiTheme="minorHAnsi" w:eastAsiaTheme="minorEastAsia"/>
                <w:noProof/>
                <w:lang w:val="nl-NL" w:eastAsia="nl-NL"/>
              </w:rPr>
              <w:tab/>
            </w:r>
            <w:r w:rsidRPr="002A3D91">
              <w:rPr>
                <w:rStyle w:val="Hyperlink"/>
                <w:rFonts w:cs="Calibri"/>
                <w:bCs/>
                <w:noProof/>
              </w:rPr>
              <w:t>Conclusion</w:t>
            </w:r>
            <w:r>
              <w:rPr>
                <w:noProof/>
                <w:webHidden/>
              </w:rPr>
              <w:tab/>
            </w:r>
            <w:r>
              <w:rPr>
                <w:noProof/>
                <w:webHidden/>
              </w:rPr>
              <w:fldChar w:fldCharType="begin"/>
            </w:r>
            <w:r>
              <w:rPr>
                <w:noProof/>
                <w:webHidden/>
              </w:rPr>
              <w:instrText xml:space="preserve"> PAGEREF _Toc231982052 \h </w:instrText>
            </w:r>
            <w:r>
              <w:rPr>
                <w:noProof/>
                <w:webHidden/>
              </w:rPr>
            </w:r>
            <w:r>
              <w:rPr>
                <w:noProof/>
                <w:webHidden/>
              </w:rPr>
              <w:fldChar w:fldCharType="separate"/>
            </w:r>
            <w:r>
              <w:rPr>
                <w:noProof/>
                <w:webHidden/>
              </w:rPr>
              <w:t>11</w:t>
            </w:r>
            <w:r>
              <w:rPr>
                <w:noProof/>
                <w:webHidden/>
              </w:rPr>
              <w:fldChar w:fldCharType="end"/>
            </w:r>
          </w:hyperlink>
        </w:p>
        <w:p w:rsidR="00877E02" w:rsidRDefault="00877E02" w14:paraId="4E1D4F6E" w14:textId="79CCE74E">
          <w:pPr>
            <w:pStyle w:val="TOC1"/>
            <w:tabs>
              <w:tab w:val="right" w:leader="dot" w:pos="9016"/>
            </w:tabs>
            <w:rPr>
              <w:rFonts w:asciiTheme="minorHAnsi" w:hAnsiTheme="minorHAnsi" w:eastAsiaTheme="minorEastAsia"/>
              <w:noProof/>
              <w:lang w:val="nl-NL" w:eastAsia="nl-NL"/>
            </w:rPr>
          </w:pPr>
          <w:hyperlink w:history="1" w:anchor="_Toc231982053">
            <w:r w:rsidRPr="002A3D91">
              <w:rPr>
                <w:rStyle w:val="Hyperlink"/>
                <w:rFonts w:cs="Calibri"/>
                <w:noProof/>
              </w:rPr>
              <w:t>4. Question 2: (Short Name)</w:t>
            </w:r>
            <w:r>
              <w:rPr>
                <w:noProof/>
                <w:webHidden/>
              </w:rPr>
              <w:tab/>
            </w:r>
            <w:r>
              <w:rPr>
                <w:noProof/>
                <w:webHidden/>
              </w:rPr>
              <w:fldChar w:fldCharType="begin"/>
            </w:r>
            <w:r>
              <w:rPr>
                <w:noProof/>
                <w:webHidden/>
              </w:rPr>
              <w:instrText xml:space="preserve"> PAGEREF _Toc231982053 \h </w:instrText>
            </w:r>
            <w:r>
              <w:rPr>
                <w:noProof/>
                <w:webHidden/>
              </w:rPr>
            </w:r>
            <w:r>
              <w:rPr>
                <w:noProof/>
                <w:webHidden/>
              </w:rPr>
              <w:fldChar w:fldCharType="separate"/>
            </w:r>
            <w:r>
              <w:rPr>
                <w:noProof/>
                <w:webHidden/>
              </w:rPr>
              <w:t>12</w:t>
            </w:r>
            <w:r>
              <w:rPr>
                <w:noProof/>
                <w:webHidden/>
              </w:rPr>
              <w:fldChar w:fldCharType="end"/>
            </w:r>
          </w:hyperlink>
        </w:p>
        <w:p w:rsidR="00877E02" w:rsidRDefault="00877E02" w14:paraId="557D13BD" w14:textId="5E04D61F">
          <w:pPr>
            <w:pStyle w:val="TOC2"/>
            <w:tabs>
              <w:tab w:val="left" w:pos="960"/>
              <w:tab w:val="right" w:leader="dot" w:pos="9016"/>
            </w:tabs>
            <w:rPr>
              <w:rFonts w:asciiTheme="minorHAnsi" w:hAnsiTheme="minorHAnsi" w:eastAsiaTheme="minorEastAsia"/>
              <w:noProof/>
              <w:lang w:val="nl-NL" w:eastAsia="nl-NL"/>
            </w:rPr>
          </w:pPr>
          <w:hyperlink w:history="1" w:anchor="_Toc231982054">
            <w:r w:rsidRPr="002A3D91">
              <w:rPr>
                <w:rStyle w:val="Hyperlink"/>
                <w:rFonts w:cs="Calibri"/>
                <w:bCs/>
                <w:noProof/>
              </w:rPr>
              <w:t>4.1</w:t>
            </w:r>
            <w:r>
              <w:rPr>
                <w:rFonts w:asciiTheme="minorHAnsi" w:hAnsiTheme="minorHAnsi" w:eastAsiaTheme="minorEastAsia"/>
                <w:noProof/>
                <w:lang w:val="nl-NL" w:eastAsia="nl-NL"/>
              </w:rPr>
              <w:tab/>
            </w:r>
            <w:r w:rsidRPr="002A3D91">
              <w:rPr>
                <w:rStyle w:val="Hyperlink"/>
                <w:rFonts w:cs="Calibri"/>
                <w:bCs/>
                <w:noProof/>
              </w:rPr>
              <w:t>Field</w:t>
            </w:r>
            <w:r>
              <w:rPr>
                <w:noProof/>
                <w:webHidden/>
              </w:rPr>
              <w:tab/>
            </w:r>
            <w:r>
              <w:rPr>
                <w:noProof/>
                <w:webHidden/>
              </w:rPr>
              <w:fldChar w:fldCharType="begin"/>
            </w:r>
            <w:r>
              <w:rPr>
                <w:noProof/>
                <w:webHidden/>
              </w:rPr>
              <w:instrText xml:space="preserve"> PAGEREF _Toc231982054 \h </w:instrText>
            </w:r>
            <w:r>
              <w:rPr>
                <w:noProof/>
                <w:webHidden/>
              </w:rPr>
            </w:r>
            <w:r>
              <w:rPr>
                <w:noProof/>
                <w:webHidden/>
              </w:rPr>
              <w:fldChar w:fldCharType="separate"/>
            </w:r>
            <w:r>
              <w:rPr>
                <w:noProof/>
                <w:webHidden/>
              </w:rPr>
              <w:t>12</w:t>
            </w:r>
            <w:r>
              <w:rPr>
                <w:noProof/>
                <w:webHidden/>
              </w:rPr>
              <w:fldChar w:fldCharType="end"/>
            </w:r>
          </w:hyperlink>
        </w:p>
        <w:p w:rsidR="00877E02" w:rsidRDefault="00877E02" w14:paraId="3A6B1F43" w14:textId="1820F3D5">
          <w:pPr>
            <w:pStyle w:val="TOC2"/>
            <w:tabs>
              <w:tab w:val="left" w:pos="960"/>
              <w:tab w:val="right" w:leader="dot" w:pos="9016"/>
            </w:tabs>
            <w:rPr>
              <w:rFonts w:asciiTheme="minorHAnsi" w:hAnsiTheme="minorHAnsi" w:eastAsiaTheme="minorEastAsia"/>
              <w:noProof/>
              <w:lang w:val="nl-NL" w:eastAsia="nl-NL"/>
            </w:rPr>
          </w:pPr>
          <w:hyperlink w:history="1" w:anchor="_Toc231982055">
            <w:r w:rsidRPr="002A3D91">
              <w:rPr>
                <w:rStyle w:val="Hyperlink"/>
                <w:rFonts w:cs="Calibri"/>
                <w:bCs/>
                <w:noProof/>
              </w:rPr>
              <w:t>4.2</w:t>
            </w:r>
            <w:r>
              <w:rPr>
                <w:rFonts w:asciiTheme="minorHAnsi" w:hAnsiTheme="minorHAnsi" w:eastAsiaTheme="minorEastAsia"/>
                <w:noProof/>
                <w:lang w:val="nl-NL" w:eastAsia="nl-NL"/>
              </w:rPr>
              <w:tab/>
            </w:r>
            <w:r w:rsidRPr="002A3D91">
              <w:rPr>
                <w:rStyle w:val="Hyperlink"/>
                <w:rFonts w:cs="Calibri"/>
                <w:bCs/>
                <w:noProof/>
              </w:rPr>
              <w:t>Workshop</w:t>
            </w:r>
            <w:r>
              <w:rPr>
                <w:noProof/>
                <w:webHidden/>
              </w:rPr>
              <w:tab/>
            </w:r>
            <w:r>
              <w:rPr>
                <w:noProof/>
                <w:webHidden/>
              </w:rPr>
              <w:fldChar w:fldCharType="begin"/>
            </w:r>
            <w:r>
              <w:rPr>
                <w:noProof/>
                <w:webHidden/>
              </w:rPr>
              <w:instrText xml:space="preserve"> PAGEREF _Toc231982055 \h </w:instrText>
            </w:r>
            <w:r>
              <w:rPr>
                <w:noProof/>
                <w:webHidden/>
              </w:rPr>
            </w:r>
            <w:r>
              <w:rPr>
                <w:noProof/>
                <w:webHidden/>
              </w:rPr>
              <w:fldChar w:fldCharType="separate"/>
            </w:r>
            <w:r>
              <w:rPr>
                <w:noProof/>
                <w:webHidden/>
              </w:rPr>
              <w:t>13</w:t>
            </w:r>
            <w:r>
              <w:rPr>
                <w:noProof/>
                <w:webHidden/>
              </w:rPr>
              <w:fldChar w:fldCharType="end"/>
            </w:r>
          </w:hyperlink>
        </w:p>
        <w:p w:rsidR="00877E02" w:rsidRDefault="00877E02" w14:paraId="3A9B32DE" w14:textId="30A0603E">
          <w:pPr>
            <w:pStyle w:val="TOC2"/>
            <w:tabs>
              <w:tab w:val="left" w:pos="960"/>
              <w:tab w:val="right" w:leader="dot" w:pos="9016"/>
            </w:tabs>
            <w:rPr>
              <w:rFonts w:asciiTheme="minorHAnsi" w:hAnsiTheme="minorHAnsi" w:eastAsiaTheme="minorEastAsia"/>
              <w:noProof/>
              <w:lang w:val="nl-NL" w:eastAsia="nl-NL"/>
            </w:rPr>
          </w:pPr>
          <w:hyperlink w:history="1" w:anchor="_Toc231982056">
            <w:r w:rsidRPr="002A3D91">
              <w:rPr>
                <w:rStyle w:val="Hyperlink"/>
                <w:rFonts w:cs="Calibri"/>
                <w:bCs/>
                <w:noProof/>
              </w:rPr>
              <w:t>4.3</w:t>
            </w:r>
            <w:r>
              <w:rPr>
                <w:rFonts w:asciiTheme="minorHAnsi" w:hAnsiTheme="minorHAnsi" w:eastAsiaTheme="minorEastAsia"/>
                <w:noProof/>
                <w:lang w:val="nl-NL" w:eastAsia="nl-NL"/>
              </w:rPr>
              <w:tab/>
            </w:r>
            <w:r w:rsidRPr="002A3D91">
              <w:rPr>
                <w:rStyle w:val="Hyperlink"/>
                <w:rFonts w:cs="Calibri"/>
                <w:bCs/>
                <w:noProof/>
              </w:rPr>
              <w:t>Library</w:t>
            </w:r>
            <w:r>
              <w:rPr>
                <w:noProof/>
                <w:webHidden/>
              </w:rPr>
              <w:tab/>
            </w:r>
            <w:r>
              <w:rPr>
                <w:noProof/>
                <w:webHidden/>
              </w:rPr>
              <w:fldChar w:fldCharType="begin"/>
            </w:r>
            <w:r>
              <w:rPr>
                <w:noProof/>
                <w:webHidden/>
              </w:rPr>
              <w:instrText xml:space="preserve"> PAGEREF _Toc231982056 \h </w:instrText>
            </w:r>
            <w:r>
              <w:rPr>
                <w:noProof/>
                <w:webHidden/>
              </w:rPr>
            </w:r>
            <w:r>
              <w:rPr>
                <w:noProof/>
                <w:webHidden/>
              </w:rPr>
              <w:fldChar w:fldCharType="separate"/>
            </w:r>
            <w:r>
              <w:rPr>
                <w:noProof/>
                <w:webHidden/>
              </w:rPr>
              <w:t>14</w:t>
            </w:r>
            <w:r>
              <w:rPr>
                <w:noProof/>
                <w:webHidden/>
              </w:rPr>
              <w:fldChar w:fldCharType="end"/>
            </w:r>
          </w:hyperlink>
        </w:p>
        <w:p w:rsidR="00877E02" w:rsidRDefault="00877E02" w14:paraId="6EFB4D35" w14:textId="6F29C263">
          <w:pPr>
            <w:pStyle w:val="TOC2"/>
            <w:tabs>
              <w:tab w:val="left" w:pos="960"/>
              <w:tab w:val="right" w:leader="dot" w:pos="9016"/>
            </w:tabs>
            <w:rPr>
              <w:rFonts w:asciiTheme="minorHAnsi" w:hAnsiTheme="minorHAnsi" w:eastAsiaTheme="minorEastAsia"/>
              <w:noProof/>
              <w:lang w:val="nl-NL" w:eastAsia="nl-NL"/>
            </w:rPr>
          </w:pPr>
          <w:hyperlink w:history="1" w:anchor="_Toc231982057">
            <w:r w:rsidRPr="002A3D91">
              <w:rPr>
                <w:rStyle w:val="Hyperlink"/>
                <w:rFonts w:cs="Calibri"/>
                <w:bCs/>
                <w:noProof/>
              </w:rPr>
              <w:t>4.4</w:t>
            </w:r>
            <w:r>
              <w:rPr>
                <w:rFonts w:asciiTheme="minorHAnsi" w:hAnsiTheme="minorHAnsi" w:eastAsiaTheme="minorEastAsia"/>
                <w:noProof/>
                <w:lang w:val="nl-NL" w:eastAsia="nl-NL"/>
              </w:rPr>
              <w:tab/>
            </w:r>
            <w:r w:rsidRPr="002A3D91">
              <w:rPr>
                <w:rStyle w:val="Hyperlink"/>
                <w:rFonts w:cs="Calibri"/>
                <w:bCs/>
                <w:noProof/>
              </w:rPr>
              <w:t>Conclusion</w:t>
            </w:r>
            <w:r>
              <w:rPr>
                <w:noProof/>
                <w:webHidden/>
              </w:rPr>
              <w:tab/>
            </w:r>
            <w:r>
              <w:rPr>
                <w:noProof/>
                <w:webHidden/>
              </w:rPr>
              <w:fldChar w:fldCharType="begin"/>
            </w:r>
            <w:r>
              <w:rPr>
                <w:noProof/>
                <w:webHidden/>
              </w:rPr>
              <w:instrText xml:space="preserve"> PAGEREF _Toc231982057 \h </w:instrText>
            </w:r>
            <w:r>
              <w:rPr>
                <w:noProof/>
                <w:webHidden/>
              </w:rPr>
            </w:r>
            <w:r>
              <w:rPr>
                <w:noProof/>
                <w:webHidden/>
              </w:rPr>
              <w:fldChar w:fldCharType="separate"/>
            </w:r>
            <w:r>
              <w:rPr>
                <w:noProof/>
                <w:webHidden/>
              </w:rPr>
              <w:t>14</w:t>
            </w:r>
            <w:r>
              <w:rPr>
                <w:noProof/>
                <w:webHidden/>
              </w:rPr>
              <w:fldChar w:fldCharType="end"/>
            </w:r>
          </w:hyperlink>
        </w:p>
        <w:p w:rsidR="00877E02" w:rsidRDefault="00877E02" w14:paraId="39CDCCEF" w14:textId="6E6AA536">
          <w:pPr>
            <w:pStyle w:val="TOC1"/>
            <w:tabs>
              <w:tab w:val="right" w:leader="dot" w:pos="9016"/>
            </w:tabs>
            <w:rPr>
              <w:rFonts w:asciiTheme="minorHAnsi" w:hAnsiTheme="minorHAnsi" w:eastAsiaTheme="minorEastAsia"/>
              <w:noProof/>
              <w:lang w:val="nl-NL" w:eastAsia="nl-NL"/>
            </w:rPr>
          </w:pPr>
          <w:hyperlink w:history="1" w:anchor="_Toc231982058">
            <w:r w:rsidRPr="002A3D91">
              <w:rPr>
                <w:rStyle w:val="Hyperlink"/>
                <w:rFonts w:cs="Calibri"/>
                <w:noProof/>
              </w:rPr>
              <w:t>5. Question 3: (Short Name)</w:t>
            </w:r>
            <w:r>
              <w:rPr>
                <w:noProof/>
                <w:webHidden/>
              </w:rPr>
              <w:tab/>
            </w:r>
            <w:r>
              <w:rPr>
                <w:noProof/>
                <w:webHidden/>
              </w:rPr>
              <w:fldChar w:fldCharType="begin"/>
            </w:r>
            <w:r>
              <w:rPr>
                <w:noProof/>
                <w:webHidden/>
              </w:rPr>
              <w:instrText xml:space="preserve"> PAGEREF _Toc231982058 \h </w:instrText>
            </w:r>
            <w:r>
              <w:rPr>
                <w:noProof/>
                <w:webHidden/>
              </w:rPr>
            </w:r>
            <w:r>
              <w:rPr>
                <w:noProof/>
                <w:webHidden/>
              </w:rPr>
              <w:fldChar w:fldCharType="separate"/>
            </w:r>
            <w:r>
              <w:rPr>
                <w:noProof/>
                <w:webHidden/>
              </w:rPr>
              <w:t>15</w:t>
            </w:r>
            <w:r>
              <w:rPr>
                <w:noProof/>
                <w:webHidden/>
              </w:rPr>
              <w:fldChar w:fldCharType="end"/>
            </w:r>
          </w:hyperlink>
        </w:p>
        <w:p w:rsidR="00877E02" w:rsidRDefault="00877E02" w14:paraId="273BCF35" w14:textId="1BC3925A">
          <w:pPr>
            <w:pStyle w:val="TOC2"/>
            <w:tabs>
              <w:tab w:val="left" w:pos="960"/>
              <w:tab w:val="right" w:leader="dot" w:pos="9016"/>
            </w:tabs>
            <w:rPr>
              <w:rFonts w:asciiTheme="minorHAnsi" w:hAnsiTheme="minorHAnsi" w:eastAsiaTheme="minorEastAsia"/>
              <w:noProof/>
              <w:lang w:val="nl-NL" w:eastAsia="nl-NL"/>
            </w:rPr>
          </w:pPr>
          <w:hyperlink w:history="1" w:anchor="_Toc231982059">
            <w:r w:rsidRPr="002A3D91">
              <w:rPr>
                <w:rStyle w:val="Hyperlink"/>
                <w:rFonts w:cs="Calibri"/>
                <w:bCs/>
                <w:noProof/>
              </w:rPr>
              <w:t>5.1</w:t>
            </w:r>
            <w:r>
              <w:rPr>
                <w:rFonts w:asciiTheme="minorHAnsi" w:hAnsiTheme="minorHAnsi" w:eastAsiaTheme="minorEastAsia"/>
                <w:noProof/>
                <w:lang w:val="nl-NL" w:eastAsia="nl-NL"/>
              </w:rPr>
              <w:tab/>
            </w:r>
            <w:r w:rsidRPr="002A3D91">
              <w:rPr>
                <w:rStyle w:val="Hyperlink"/>
                <w:rFonts w:cs="Calibri"/>
                <w:bCs/>
                <w:noProof/>
              </w:rPr>
              <w:t>Library</w:t>
            </w:r>
            <w:r>
              <w:rPr>
                <w:noProof/>
                <w:webHidden/>
              </w:rPr>
              <w:tab/>
            </w:r>
            <w:r>
              <w:rPr>
                <w:noProof/>
                <w:webHidden/>
              </w:rPr>
              <w:fldChar w:fldCharType="begin"/>
            </w:r>
            <w:r>
              <w:rPr>
                <w:noProof/>
                <w:webHidden/>
              </w:rPr>
              <w:instrText xml:space="preserve"> PAGEREF _Toc231982059 \h </w:instrText>
            </w:r>
            <w:r>
              <w:rPr>
                <w:noProof/>
                <w:webHidden/>
              </w:rPr>
            </w:r>
            <w:r>
              <w:rPr>
                <w:noProof/>
                <w:webHidden/>
              </w:rPr>
              <w:fldChar w:fldCharType="separate"/>
            </w:r>
            <w:r>
              <w:rPr>
                <w:noProof/>
                <w:webHidden/>
              </w:rPr>
              <w:t>16</w:t>
            </w:r>
            <w:r>
              <w:rPr>
                <w:noProof/>
                <w:webHidden/>
              </w:rPr>
              <w:fldChar w:fldCharType="end"/>
            </w:r>
          </w:hyperlink>
        </w:p>
        <w:p w:rsidR="00877E02" w:rsidRDefault="00877E02" w14:paraId="3C88EAB0" w14:textId="75D78717">
          <w:pPr>
            <w:pStyle w:val="TOC3"/>
            <w:tabs>
              <w:tab w:val="right" w:leader="dot" w:pos="9016"/>
            </w:tabs>
            <w:rPr>
              <w:noProof/>
            </w:rPr>
          </w:pPr>
          <w:hyperlink w:history="1" w:anchor="_Toc231982060">
            <w:r w:rsidRPr="002A3D91">
              <w:rPr>
                <w:rStyle w:val="Hyperlink"/>
                <w:noProof/>
              </w:rPr>
              <w:t>Literature Study</w:t>
            </w:r>
            <w:r>
              <w:rPr>
                <w:noProof/>
                <w:webHidden/>
              </w:rPr>
              <w:tab/>
            </w:r>
            <w:r>
              <w:rPr>
                <w:noProof/>
                <w:webHidden/>
              </w:rPr>
              <w:fldChar w:fldCharType="begin"/>
            </w:r>
            <w:r>
              <w:rPr>
                <w:noProof/>
                <w:webHidden/>
              </w:rPr>
              <w:instrText xml:space="preserve"> PAGEREF _Toc231982060 \h </w:instrText>
            </w:r>
            <w:r>
              <w:rPr>
                <w:noProof/>
                <w:webHidden/>
              </w:rPr>
            </w:r>
            <w:r>
              <w:rPr>
                <w:noProof/>
                <w:webHidden/>
              </w:rPr>
              <w:fldChar w:fldCharType="separate"/>
            </w:r>
            <w:r>
              <w:rPr>
                <w:noProof/>
                <w:webHidden/>
              </w:rPr>
              <w:t>16</w:t>
            </w:r>
            <w:r>
              <w:rPr>
                <w:noProof/>
                <w:webHidden/>
              </w:rPr>
              <w:fldChar w:fldCharType="end"/>
            </w:r>
          </w:hyperlink>
        </w:p>
        <w:p w:rsidR="00877E02" w:rsidRDefault="00877E02" w14:paraId="6BA031E2" w14:textId="3E648EB3">
          <w:pPr>
            <w:pStyle w:val="TOC3"/>
            <w:tabs>
              <w:tab w:val="right" w:leader="dot" w:pos="9016"/>
            </w:tabs>
            <w:rPr>
              <w:noProof/>
            </w:rPr>
          </w:pPr>
          <w:hyperlink w:history="1" w:anchor="_Toc231982061">
            <w:r w:rsidRPr="002A3D91">
              <w:rPr>
                <w:rStyle w:val="Hyperlink"/>
                <w:noProof/>
              </w:rPr>
              <w:t>Best, good and bad practices</w:t>
            </w:r>
            <w:r>
              <w:rPr>
                <w:noProof/>
                <w:webHidden/>
              </w:rPr>
              <w:tab/>
            </w:r>
            <w:r>
              <w:rPr>
                <w:noProof/>
                <w:webHidden/>
              </w:rPr>
              <w:fldChar w:fldCharType="begin"/>
            </w:r>
            <w:r>
              <w:rPr>
                <w:noProof/>
                <w:webHidden/>
              </w:rPr>
              <w:instrText xml:space="preserve"> PAGEREF _Toc231982061 \h </w:instrText>
            </w:r>
            <w:r>
              <w:rPr>
                <w:noProof/>
                <w:webHidden/>
              </w:rPr>
            </w:r>
            <w:r>
              <w:rPr>
                <w:noProof/>
                <w:webHidden/>
              </w:rPr>
              <w:fldChar w:fldCharType="separate"/>
            </w:r>
            <w:r>
              <w:rPr>
                <w:noProof/>
                <w:webHidden/>
              </w:rPr>
              <w:t>20</w:t>
            </w:r>
            <w:r>
              <w:rPr>
                <w:noProof/>
                <w:webHidden/>
              </w:rPr>
              <w:fldChar w:fldCharType="end"/>
            </w:r>
          </w:hyperlink>
        </w:p>
        <w:p w:rsidR="00877E02" w:rsidRDefault="00877E02" w14:paraId="7BA6A408" w14:textId="081FADDE">
          <w:pPr>
            <w:pStyle w:val="TOC2"/>
            <w:tabs>
              <w:tab w:val="left" w:pos="960"/>
              <w:tab w:val="right" w:leader="dot" w:pos="9016"/>
            </w:tabs>
            <w:rPr>
              <w:rFonts w:asciiTheme="minorHAnsi" w:hAnsiTheme="minorHAnsi" w:eastAsiaTheme="minorEastAsia"/>
              <w:noProof/>
              <w:lang w:val="nl-NL" w:eastAsia="nl-NL"/>
            </w:rPr>
          </w:pPr>
          <w:hyperlink w:history="1" w:anchor="_Toc231982062">
            <w:r w:rsidRPr="002A3D91">
              <w:rPr>
                <w:rStyle w:val="Hyperlink"/>
                <w:rFonts w:cs="Calibri"/>
                <w:bCs/>
                <w:noProof/>
              </w:rPr>
              <w:t>5.2</w:t>
            </w:r>
            <w:r>
              <w:rPr>
                <w:rFonts w:asciiTheme="minorHAnsi" w:hAnsiTheme="minorHAnsi" w:eastAsiaTheme="minorEastAsia"/>
                <w:noProof/>
                <w:lang w:val="nl-NL" w:eastAsia="nl-NL"/>
              </w:rPr>
              <w:tab/>
            </w:r>
            <w:r w:rsidRPr="002A3D91">
              <w:rPr>
                <w:rStyle w:val="Hyperlink"/>
                <w:rFonts w:cs="Calibri"/>
                <w:bCs/>
                <w:noProof/>
              </w:rPr>
              <w:t>Field</w:t>
            </w:r>
            <w:r>
              <w:rPr>
                <w:noProof/>
                <w:webHidden/>
              </w:rPr>
              <w:tab/>
            </w:r>
            <w:r>
              <w:rPr>
                <w:noProof/>
                <w:webHidden/>
              </w:rPr>
              <w:fldChar w:fldCharType="begin"/>
            </w:r>
            <w:r>
              <w:rPr>
                <w:noProof/>
                <w:webHidden/>
              </w:rPr>
              <w:instrText xml:space="preserve"> PAGEREF _Toc231982062 \h </w:instrText>
            </w:r>
            <w:r>
              <w:rPr>
                <w:noProof/>
                <w:webHidden/>
              </w:rPr>
            </w:r>
            <w:r>
              <w:rPr>
                <w:noProof/>
                <w:webHidden/>
              </w:rPr>
              <w:fldChar w:fldCharType="separate"/>
            </w:r>
            <w:r>
              <w:rPr>
                <w:noProof/>
                <w:webHidden/>
              </w:rPr>
              <w:t>22</w:t>
            </w:r>
            <w:r>
              <w:rPr>
                <w:noProof/>
                <w:webHidden/>
              </w:rPr>
              <w:fldChar w:fldCharType="end"/>
            </w:r>
          </w:hyperlink>
        </w:p>
        <w:p w:rsidR="00877E02" w:rsidRDefault="00877E02" w14:paraId="42EFCDB4" w14:textId="23DEEDCA">
          <w:pPr>
            <w:pStyle w:val="TOC3"/>
            <w:tabs>
              <w:tab w:val="right" w:leader="dot" w:pos="9016"/>
            </w:tabs>
            <w:rPr>
              <w:noProof/>
            </w:rPr>
          </w:pPr>
          <w:hyperlink w:history="1" w:anchor="_Toc231982063">
            <w:r w:rsidRPr="002A3D91">
              <w:rPr>
                <w:rStyle w:val="Hyperlink"/>
                <w:noProof/>
              </w:rPr>
              <w:t>Stakeholder Analysis</w:t>
            </w:r>
            <w:r>
              <w:rPr>
                <w:noProof/>
                <w:webHidden/>
              </w:rPr>
              <w:tab/>
            </w:r>
            <w:r>
              <w:rPr>
                <w:noProof/>
                <w:webHidden/>
              </w:rPr>
              <w:fldChar w:fldCharType="begin"/>
            </w:r>
            <w:r>
              <w:rPr>
                <w:noProof/>
                <w:webHidden/>
              </w:rPr>
              <w:instrText xml:space="preserve"> PAGEREF _Toc231982063 \h </w:instrText>
            </w:r>
            <w:r>
              <w:rPr>
                <w:noProof/>
                <w:webHidden/>
              </w:rPr>
            </w:r>
            <w:r>
              <w:rPr>
                <w:noProof/>
                <w:webHidden/>
              </w:rPr>
              <w:fldChar w:fldCharType="separate"/>
            </w:r>
            <w:r>
              <w:rPr>
                <w:noProof/>
                <w:webHidden/>
              </w:rPr>
              <w:t>22</w:t>
            </w:r>
            <w:r>
              <w:rPr>
                <w:noProof/>
                <w:webHidden/>
              </w:rPr>
              <w:fldChar w:fldCharType="end"/>
            </w:r>
          </w:hyperlink>
        </w:p>
        <w:p w:rsidR="00877E02" w:rsidRDefault="00877E02" w14:paraId="04B3438B" w14:textId="71B6DBBF">
          <w:pPr>
            <w:pStyle w:val="TOC2"/>
            <w:tabs>
              <w:tab w:val="left" w:pos="960"/>
              <w:tab w:val="right" w:leader="dot" w:pos="9016"/>
            </w:tabs>
            <w:rPr>
              <w:rFonts w:asciiTheme="minorHAnsi" w:hAnsiTheme="minorHAnsi" w:eastAsiaTheme="minorEastAsia"/>
              <w:noProof/>
              <w:lang w:val="nl-NL" w:eastAsia="nl-NL"/>
            </w:rPr>
          </w:pPr>
          <w:hyperlink w:history="1" w:anchor="_Toc231982064">
            <w:r w:rsidRPr="002A3D91">
              <w:rPr>
                <w:rStyle w:val="Hyperlink"/>
                <w:rFonts w:cs="Calibri"/>
                <w:bCs/>
                <w:noProof/>
              </w:rPr>
              <w:t>5.3</w:t>
            </w:r>
            <w:r>
              <w:rPr>
                <w:rFonts w:asciiTheme="minorHAnsi" w:hAnsiTheme="minorHAnsi" w:eastAsiaTheme="minorEastAsia"/>
                <w:noProof/>
                <w:lang w:val="nl-NL" w:eastAsia="nl-NL"/>
              </w:rPr>
              <w:tab/>
            </w:r>
            <w:r w:rsidRPr="002A3D91">
              <w:rPr>
                <w:rStyle w:val="Hyperlink"/>
                <w:rFonts w:cs="Calibri"/>
                <w:bCs/>
                <w:noProof/>
              </w:rPr>
              <w:t>Showroom</w:t>
            </w:r>
            <w:r>
              <w:rPr>
                <w:noProof/>
                <w:webHidden/>
              </w:rPr>
              <w:tab/>
            </w:r>
            <w:r>
              <w:rPr>
                <w:noProof/>
                <w:webHidden/>
              </w:rPr>
              <w:fldChar w:fldCharType="begin"/>
            </w:r>
            <w:r>
              <w:rPr>
                <w:noProof/>
                <w:webHidden/>
              </w:rPr>
              <w:instrText xml:space="preserve"> PAGEREF _Toc231982064 \h </w:instrText>
            </w:r>
            <w:r>
              <w:rPr>
                <w:noProof/>
                <w:webHidden/>
              </w:rPr>
            </w:r>
            <w:r>
              <w:rPr>
                <w:noProof/>
                <w:webHidden/>
              </w:rPr>
              <w:fldChar w:fldCharType="separate"/>
            </w:r>
            <w:r>
              <w:rPr>
                <w:noProof/>
                <w:webHidden/>
              </w:rPr>
              <w:t>23</w:t>
            </w:r>
            <w:r>
              <w:rPr>
                <w:noProof/>
                <w:webHidden/>
              </w:rPr>
              <w:fldChar w:fldCharType="end"/>
            </w:r>
          </w:hyperlink>
        </w:p>
        <w:p w:rsidR="00877E02" w:rsidRDefault="00877E02" w14:paraId="6C32D41B" w14:textId="54C10128">
          <w:pPr>
            <w:pStyle w:val="TOC3"/>
            <w:tabs>
              <w:tab w:val="right" w:leader="dot" w:pos="9016"/>
            </w:tabs>
            <w:rPr>
              <w:noProof/>
            </w:rPr>
          </w:pPr>
          <w:hyperlink w:history="1" w:anchor="_Toc231982065">
            <w:r w:rsidRPr="002A3D91">
              <w:rPr>
                <w:rStyle w:val="Hyperlink"/>
                <w:noProof/>
              </w:rPr>
              <w:t>Guideline Conformity Analysis</w:t>
            </w:r>
            <w:r>
              <w:rPr>
                <w:noProof/>
                <w:webHidden/>
              </w:rPr>
              <w:tab/>
            </w:r>
            <w:r>
              <w:rPr>
                <w:noProof/>
                <w:webHidden/>
              </w:rPr>
              <w:fldChar w:fldCharType="begin"/>
            </w:r>
            <w:r>
              <w:rPr>
                <w:noProof/>
                <w:webHidden/>
              </w:rPr>
              <w:instrText xml:space="preserve"> PAGEREF _Toc231982065 \h </w:instrText>
            </w:r>
            <w:r>
              <w:rPr>
                <w:noProof/>
                <w:webHidden/>
              </w:rPr>
            </w:r>
            <w:r>
              <w:rPr>
                <w:noProof/>
                <w:webHidden/>
              </w:rPr>
              <w:fldChar w:fldCharType="separate"/>
            </w:r>
            <w:r>
              <w:rPr>
                <w:noProof/>
                <w:webHidden/>
              </w:rPr>
              <w:t>23</w:t>
            </w:r>
            <w:r>
              <w:rPr>
                <w:noProof/>
                <w:webHidden/>
              </w:rPr>
              <w:fldChar w:fldCharType="end"/>
            </w:r>
          </w:hyperlink>
        </w:p>
        <w:p w:rsidR="00877E02" w:rsidRDefault="00877E02" w14:paraId="74FFFAE1" w14:textId="0483F81C">
          <w:pPr>
            <w:pStyle w:val="TOC2"/>
            <w:tabs>
              <w:tab w:val="left" w:pos="960"/>
              <w:tab w:val="right" w:leader="dot" w:pos="9016"/>
            </w:tabs>
            <w:rPr>
              <w:rFonts w:asciiTheme="minorHAnsi" w:hAnsiTheme="minorHAnsi" w:eastAsiaTheme="minorEastAsia"/>
              <w:noProof/>
              <w:lang w:val="nl-NL" w:eastAsia="nl-NL"/>
            </w:rPr>
          </w:pPr>
          <w:hyperlink w:history="1" w:anchor="_Toc231982066">
            <w:r w:rsidRPr="002A3D91">
              <w:rPr>
                <w:rStyle w:val="Hyperlink"/>
                <w:rFonts w:cs="Calibri"/>
                <w:noProof/>
              </w:rPr>
              <w:t>5.4</w:t>
            </w:r>
            <w:r>
              <w:rPr>
                <w:rFonts w:asciiTheme="minorHAnsi" w:hAnsiTheme="minorHAnsi" w:eastAsiaTheme="minorEastAsia"/>
                <w:noProof/>
                <w:lang w:val="nl-NL" w:eastAsia="nl-NL"/>
              </w:rPr>
              <w:tab/>
            </w:r>
            <w:r w:rsidRPr="002A3D91">
              <w:rPr>
                <w:rStyle w:val="Hyperlink"/>
                <w:rFonts w:cs="Calibri"/>
                <w:bCs/>
                <w:noProof/>
              </w:rPr>
              <w:t>Conclusion</w:t>
            </w:r>
            <w:r>
              <w:rPr>
                <w:noProof/>
                <w:webHidden/>
              </w:rPr>
              <w:tab/>
            </w:r>
            <w:r>
              <w:rPr>
                <w:noProof/>
                <w:webHidden/>
              </w:rPr>
              <w:fldChar w:fldCharType="begin"/>
            </w:r>
            <w:r>
              <w:rPr>
                <w:noProof/>
                <w:webHidden/>
              </w:rPr>
              <w:instrText xml:space="preserve"> PAGEREF _Toc231982066 \h </w:instrText>
            </w:r>
            <w:r>
              <w:rPr>
                <w:noProof/>
                <w:webHidden/>
              </w:rPr>
            </w:r>
            <w:r>
              <w:rPr>
                <w:noProof/>
                <w:webHidden/>
              </w:rPr>
              <w:fldChar w:fldCharType="separate"/>
            </w:r>
            <w:r>
              <w:rPr>
                <w:noProof/>
                <w:webHidden/>
              </w:rPr>
              <w:t>25</w:t>
            </w:r>
            <w:r>
              <w:rPr>
                <w:noProof/>
                <w:webHidden/>
              </w:rPr>
              <w:fldChar w:fldCharType="end"/>
            </w:r>
          </w:hyperlink>
        </w:p>
        <w:p w:rsidR="00877E02" w:rsidRDefault="00877E02" w14:paraId="1B48794F" w14:textId="7649E076">
          <w:pPr>
            <w:pStyle w:val="TOC1"/>
            <w:tabs>
              <w:tab w:val="right" w:leader="dot" w:pos="9016"/>
            </w:tabs>
            <w:rPr>
              <w:rFonts w:asciiTheme="minorHAnsi" w:hAnsiTheme="minorHAnsi" w:eastAsiaTheme="minorEastAsia"/>
              <w:noProof/>
              <w:lang w:val="nl-NL" w:eastAsia="nl-NL"/>
            </w:rPr>
          </w:pPr>
          <w:hyperlink w:history="1" w:anchor="_Toc231982067">
            <w:r w:rsidRPr="002A3D91">
              <w:rPr>
                <w:rStyle w:val="Hyperlink"/>
                <w:rFonts w:cs="Calibri"/>
                <w:bCs/>
                <w:noProof/>
                <w:lang w:val="en-GB"/>
              </w:rPr>
              <w:t>6. Question 4: (Short Name)</w:t>
            </w:r>
            <w:r>
              <w:rPr>
                <w:noProof/>
                <w:webHidden/>
              </w:rPr>
              <w:tab/>
            </w:r>
            <w:r>
              <w:rPr>
                <w:noProof/>
                <w:webHidden/>
              </w:rPr>
              <w:fldChar w:fldCharType="begin"/>
            </w:r>
            <w:r>
              <w:rPr>
                <w:noProof/>
                <w:webHidden/>
              </w:rPr>
              <w:instrText xml:space="preserve"> PAGEREF _Toc231982067 \h </w:instrText>
            </w:r>
            <w:r>
              <w:rPr>
                <w:noProof/>
                <w:webHidden/>
              </w:rPr>
            </w:r>
            <w:r>
              <w:rPr>
                <w:noProof/>
                <w:webHidden/>
              </w:rPr>
              <w:fldChar w:fldCharType="separate"/>
            </w:r>
            <w:r>
              <w:rPr>
                <w:noProof/>
                <w:webHidden/>
              </w:rPr>
              <w:t>26</w:t>
            </w:r>
            <w:r>
              <w:rPr>
                <w:noProof/>
                <w:webHidden/>
              </w:rPr>
              <w:fldChar w:fldCharType="end"/>
            </w:r>
          </w:hyperlink>
        </w:p>
        <w:p w:rsidR="00877E02" w:rsidRDefault="00877E02" w14:paraId="46629102" w14:textId="0D5F1990">
          <w:pPr>
            <w:pStyle w:val="TOC2"/>
            <w:tabs>
              <w:tab w:val="left" w:pos="960"/>
              <w:tab w:val="right" w:leader="dot" w:pos="9016"/>
            </w:tabs>
            <w:rPr>
              <w:rFonts w:asciiTheme="minorHAnsi" w:hAnsiTheme="minorHAnsi" w:eastAsiaTheme="minorEastAsia"/>
              <w:noProof/>
              <w:lang w:val="nl-NL" w:eastAsia="nl-NL"/>
            </w:rPr>
          </w:pPr>
          <w:hyperlink w:history="1" w:anchor="_Toc231982068">
            <w:r w:rsidRPr="002A3D91">
              <w:rPr>
                <w:rStyle w:val="Hyperlink"/>
                <w:rFonts w:cs="Calibri"/>
                <w:bCs/>
                <w:noProof/>
              </w:rPr>
              <w:t>6.1</w:t>
            </w:r>
            <w:r>
              <w:rPr>
                <w:rFonts w:asciiTheme="minorHAnsi" w:hAnsiTheme="minorHAnsi" w:eastAsiaTheme="minorEastAsia"/>
                <w:noProof/>
                <w:lang w:val="nl-NL" w:eastAsia="nl-NL"/>
              </w:rPr>
              <w:tab/>
            </w:r>
            <w:r w:rsidRPr="002A3D91">
              <w:rPr>
                <w:rStyle w:val="Hyperlink"/>
                <w:rFonts w:cs="Calibri"/>
                <w:bCs/>
                <w:noProof/>
              </w:rPr>
              <w:t>Library</w:t>
            </w:r>
            <w:r>
              <w:rPr>
                <w:noProof/>
                <w:webHidden/>
              </w:rPr>
              <w:tab/>
            </w:r>
            <w:r>
              <w:rPr>
                <w:noProof/>
                <w:webHidden/>
              </w:rPr>
              <w:fldChar w:fldCharType="begin"/>
            </w:r>
            <w:r>
              <w:rPr>
                <w:noProof/>
                <w:webHidden/>
              </w:rPr>
              <w:instrText xml:space="preserve"> PAGEREF _Toc231982068 \h </w:instrText>
            </w:r>
            <w:r>
              <w:rPr>
                <w:noProof/>
                <w:webHidden/>
              </w:rPr>
            </w:r>
            <w:r>
              <w:rPr>
                <w:noProof/>
                <w:webHidden/>
              </w:rPr>
              <w:fldChar w:fldCharType="separate"/>
            </w:r>
            <w:r>
              <w:rPr>
                <w:noProof/>
                <w:webHidden/>
              </w:rPr>
              <w:t>26</w:t>
            </w:r>
            <w:r>
              <w:rPr>
                <w:noProof/>
                <w:webHidden/>
              </w:rPr>
              <w:fldChar w:fldCharType="end"/>
            </w:r>
          </w:hyperlink>
        </w:p>
        <w:p w:rsidR="00877E02" w:rsidRDefault="00877E02" w14:paraId="4E61D43D" w14:textId="6A4E1749">
          <w:pPr>
            <w:pStyle w:val="TOC2"/>
            <w:tabs>
              <w:tab w:val="left" w:pos="960"/>
              <w:tab w:val="right" w:leader="dot" w:pos="9016"/>
            </w:tabs>
            <w:rPr>
              <w:rFonts w:asciiTheme="minorHAnsi" w:hAnsiTheme="minorHAnsi" w:eastAsiaTheme="minorEastAsia"/>
              <w:noProof/>
              <w:lang w:val="nl-NL" w:eastAsia="nl-NL"/>
            </w:rPr>
          </w:pPr>
          <w:hyperlink w:history="1" w:anchor="_Toc231982069">
            <w:r w:rsidRPr="002A3D91">
              <w:rPr>
                <w:rStyle w:val="Hyperlink"/>
                <w:noProof/>
              </w:rPr>
              <w:t>6.2</w:t>
            </w:r>
            <w:r>
              <w:rPr>
                <w:rFonts w:asciiTheme="minorHAnsi" w:hAnsiTheme="minorHAnsi" w:eastAsiaTheme="minorEastAsia"/>
                <w:noProof/>
                <w:lang w:val="nl-NL" w:eastAsia="nl-NL"/>
              </w:rPr>
              <w:tab/>
            </w:r>
            <w:r w:rsidRPr="002A3D91">
              <w:rPr>
                <w:rStyle w:val="Hyperlink"/>
                <w:noProof/>
              </w:rPr>
              <w:t>Field</w:t>
            </w:r>
            <w:r>
              <w:rPr>
                <w:noProof/>
                <w:webHidden/>
              </w:rPr>
              <w:tab/>
            </w:r>
            <w:r>
              <w:rPr>
                <w:noProof/>
                <w:webHidden/>
              </w:rPr>
              <w:fldChar w:fldCharType="begin"/>
            </w:r>
            <w:r>
              <w:rPr>
                <w:noProof/>
                <w:webHidden/>
              </w:rPr>
              <w:instrText xml:space="preserve"> PAGEREF _Toc231982069 \h </w:instrText>
            </w:r>
            <w:r>
              <w:rPr>
                <w:noProof/>
                <w:webHidden/>
              </w:rPr>
            </w:r>
            <w:r>
              <w:rPr>
                <w:noProof/>
                <w:webHidden/>
              </w:rPr>
              <w:fldChar w:fldCharType="separate"/>
            </w:r>
            <w:r>
              <w:rPr>
                <w:noProof/>
                <w:webHidden/>
              </w:rPr>
              <w:t>28</w:t>
            </w:r>
            <w:r>
              <w:rPr>
                <w:noProof/>
                <w:webHidden/>
              </w:rPr>
              <w:fldChar w:fldCharType="end"/>
            </w:r>
          </w:hyperlink>
        </w:p>
        <w:p w:rsidR="00877E02" w:rsidRDefault="00877E02" w14:paraId="1A181230" w14:textId="433F5DFF">
          <w:pPr>
            <w:pStyle w:val="TOC2"/>
            <w:tabs>
              <w:tab w:val="right" w:leader="dot" w:pos="9016"/>
            </w:tabs>
            <w:rPr>
              <w:rFonts w:asciiTheme="minorHAnsi" w:hAnsiTheme="minorHAnsi" w:eastAsiaTheme="minorEastAsia"/>
              <w:noProof/>
              <w:lang w:val="nl-NL" w:eastAsia="nl-NL"/>
            </w:rPr>
          </w:pPr>
          <w:hyperlink w:history="1" w:anchor="_Toc231982070">
            <w:r w:rsidRPr="002A3D91">
              <w:rPr>
                <w:rStyle w:val="Hyperlink"/>
                <w:rFonts w:cs="Calibri"/>
                <w:bCs/>
                <w:noProof/>
              </w:rPr>
              <w:t>6.3 Workshop</w:t>
            </w:r>
            <w:r>
              <w:rPr>
                <w:noProof/>
                <w:webHidden/>
              </w:rPr>
              <w:tab/>
            </w:r>
            <w:r>
              <w:rPr>
                <w:noProof/>
                <w:webHidden/>
              </w:rPr>
              <w:fldChar w:fldCharType="begin"/>
            </w:r>
            <w:r>
              <w:rPr>
                <w:noProof/>
                <w:webHidden/>
              </w:rPr>
              <w:instrText xml:space="preserve"> PAGEREF _Toc231982070 \h </w:instrText>
            </w:r>
            <w:r>
              <w:rPr>
                <w:noProof/>
                <w:webHidden/>
              </w:rPr>
            </w:r>
            <w:r>
              <w:rPr>
                <w:noProof/>
                <w:webHidden/>
              </w:rPr>
              <w:fldChar w:fldCharType="separate"/>
            </w:r>
            <w:r>
              <w:rPr>
                <w:noProof/>
                <w:webHidden/>
              </w:rPr>
              <w:t>29</w:t>
            </w:r>
            <w:r>
              <w:rPr>
                <w:noProof/>
                <w:webHidden/>
              </w:rPr>
              <w:fldChar w:fldCharType="end"/>
            </w:r>
          </w:hyperlink>
        </w:p>
        <w:p w:rsidR="00877E02" w:rsidRDefault="00877E02" w14:paraId="287E6FBD" w14:textId="0A0FFC81">
          <w:pPr>
            <w:pStyle w:val="TOC2"/>
            <w:tabs>
              <w:tab w:val="right" w:leader="dot" w:pos="9016"/>
            </w:tabs>
            <w:rPr>
              <w:rFonts w:asciiTheme="minorHAnsi" w:hAnsiTheme="minorHAnsi" w:eastAsiaTheme="minorEastAsia"/>
              <w:noProof/>
              <w:lang w:val="nl-NL" w:eastAsia="nl-NL"/>
            </w:rPr>
          </w:pPr>
          <w:hyperlink w:history="1" w:anchor="_Toc231982071">
            <w:r w:rsidRPr="002A3D91">
              <w:rPr>
                <w:rStyle w:val="Hyperlink"/>
                <w:rFonts w:cs="Calibri"/>
                <w:noProof/>
              </w:rPr>
              <w:t>6.4 Conclusion (?)</w:t>
            </w:r>
            <w:r>
              <w:rPr>
                <w:noProof/>
                <w:webHidden/>
              </w:rPr>
              <w:tab/>
            </w:r>
            <w:r>
              <w:rPr>
                <w:noProof/>
                <w:webHidden/>
              </w:rPr>
              <w:fldChar w:fldCharType="begin"/>
            </w:r>
            <w:r>
              <w:rPr>
                <w:noProof/>
                <w:webHidden/>
              </w:rPr>
              <w:instrText xml:space="preserve"> PAGEREF _Toc231982071 \h </w:instrText>
            </w:r>
            <w:r>
              <w:rPr>
                <w:noProof/>
                <w:webHidden/>
              </w:rPr>
            </w:r>
            <w:r>
              <w:rPr>
                <w:noProof/>
                <w:webHidden/>
              </w:rPr>
              <w:fldChar w:fldCharType="separate"/>
            </w:r>
            <w:r>
              <w:rPr>
                <w:noProof/>
                <w:webHidden/>
              </w:rPr>
              <w:t>33</w:t>
            </w:r>
            <w:r>
              <w:rPr>
                <w:noProof/>
                <w:webHidden/>
              </w:rPr>
              <w:fldChar w:fldCharType="end"/>
            </w:r>
          </w:hyperlink>
        </w:p>
        <w:p w:rsidR="00877E02" w:rsidRDefault="00877E02" w14:paraId="15917743" w14:textId="6C6377D9">
          <w:pPr>
            <w:pStyle w:val="TOC1"/>
            <w:tabs>
              <w:tab w:val="right" w:leader="dot" w:pos="9016"/>
            </w:tabs>
            <w:rPr>
              <w:rFonts w:asciiTheme="minorHAnsi" w:hAnsiTheme="minorHAnsi" w:eastAsiaTheme="minorEastAsia"/>
              <w:noProof/>
              <w:lang w:val="nl-NL" w:eastAsia="nl-NL"/>
            </w:rPr>
          </w:pPr>
          <w:hyperlink w:history="1" w:anchor="_Toc231982072">
            <w:r w:rsidRPr="002A3D91">
              <w:rPr>
                <w:rStyle w:val="Hyperlink"/>
                <w:rFonts w:cs="Calibri"/>
                <w:noProof/>
              </w:rPr>
              <w:t>7. Question 5: (Short Name)</w:t>
            </w:r>
            <w:r>
              <w:rPr>
                <w:noProof/>
                <w:webHidden/>
              </w:rPr>
              <w:tab/>
            </w:r>
            <w:r>
              <w:rPr>
                <w:noProof/>
                <w:webHidden/>
              </w:rPr>
              <w:fldChar w:fldCharType="begin"/>
            </w:r>
            <w:r>
              <w:rPr>
                <w:noProof/>
                <w:webHidden/>
              </w:rPr>
              <w:instrText xml:space="preserve"> PAGEREF _Toc231982072 \h </w:instrText>
            </w:r>
            <w:r>
              <w:rPr>
                <w:noProof/>
                <w:webHidden/>
              </w:rPr>
            </w:r>
            <w:r>
              <w:rPr>
                <w:noProof/>
                <w:webHidden/>
              </w:rPr>
              <w:fldChar w:fldCharType="separate"/>
            </w:r>
            <w:r>
              <w:rPr>
                <w:noProof/>
                <w:webHidden/>
              </w:rPr>
              <w:t>34</w:t>
            </w:r>
            <w:r>
              <w:rPr>
                <w:noProof/>
                <w:webHidden/>
              </w:rPr>
              <w:fldChar w:fldCharType="end"/>
            </w:r>
          </w:hyperlink>
        </w:p>
        <w:p w:rsidR="00877E02" w:rsidRDefault="00877E02" w14:paraId="0898F167" w14:textId="0AD392DA">
          <w:pPr>
            <w:pStyle w:val="TOC2"/>
            <w:tabs>
              <w:tab w:val="left" w:pos="960"/>
              <w:tab w:val="right" w:leader="dot" w:pos="9016"/>
            </w:tabs>
            <w:rPr>
              <w:rFonts w:asciiTheme="minorHAnsi" w:hAnsiTheme="minorHAnsi" w:eastAsiaTheme="minorEastAsia"/>
              <w:noProof/>
              <w:lang w:val="nl-NL" w:eastAsia="nl-NL"/>
            </w:rPr>
          </w:pPr>
          <w:hyperlink w:history="1" w:anchor="_Toc231982073">
            <w:r w:rsidRPr="002A3D91">
              <w:rPr>
                <w:rStyle w:val="Hyperlink"/>
                <w:rFonts w:cs="Calibri"/>
                <w:bCs/>
                <w:noProof/>
              </w:rPr>
              <w:t>7.1</w:t>
            </w:r>
            <w:r>
              <w:rPr>
                <w:rFonts w:asciiTheme="minorHAnsi" w:hAnsiTheme="minorHAnsi" w:eastAsiaTheme="minorEastAsia"/>
                <w:noProof/>
                <w:lang w:val="nl-NL" w:eastAsia="nl-NL"/>
              </w:rPr>
              <w:tab/>
            </w:r>
            <w:r w:rsidRPr="002A3D91">
              <w:rPr>
                <w:rStyle w:val="Hyperlink"/>
                <w:rFonts w:cs="Calibri"/>
                <w:bCs/>
                <w:noProof/>
              </w:rPr>
              <w:t>Library</w:t>
            </w:r>
            <w:r>
              <w:rPr>
                <w:noProof/>
                <w:webHidden/>
              </w:rPr>
              <w:tab/>
            </w:r>
            <w:r>
              <w:rPr>
                <w:noProof/>
                <w:webHidden/>
              </w:rPr>
              <w:fldChar w:fldCharType="begin"/>
            </w:r>
            <w:r>
              <w:rPr>
                <w:noProof/>
                <w:webHidden/>
              </w:rPr>
              <w:instrText xml:space="preserve"> PAGEREF _Toc231982073 \h </w:instrText>
            </w:r>
            <w:r>
              <w:rPr>
                <w:noProof/>
                <w:webHidden/>
              </w:rPr>
            </w:r>
            <w:r>
              <w:rPr>
                <w:noProof/>
                <w:webHidden/>
              </w:rPr>
              <w:fldChar w:fldCharType="separate"/>
            </w:r>
            <w:r>
              <w:rPr>
                <w:noProof/>
                <w:webHidden/>
              </w:rPr>
              <w:t>34</w:t>
            </w:r>
            <w:r>
              <w:rPr>
                <w:noProof/>
                <w:webHidden/>
              </w:rPr>
              <w:fldChar w:fldCharType="end"/>
            </w:r>
          </w:hyperlink>
        </w:p>
        <w:p w:rsidR="00877E02" w:rsidRDefault="00877E02" w14:paraId="6E71A866" w14:textId="58F5EF37">
          <w:pPr>
            <w:pStyle w:val="TOC2"/>
            <w:tabs>
              <w:tab w:val="left" w:pos="960"/>
              <w:tab w:val="right" w:leader="dot" w:pos="9016"/>
            </w:tabs>
            <w:rPr>
              <w:rFonts w:asciiTheme="minorHAnsi" w:hAnsiTheme="minorHAnsi" w:eastAsiaTheme="minorEastAsia"/>
              <w:noProof/>
              <w:lang w:val="nl-NL" w:eastAsia="nl-NL"/>
            </w:rPr>
          </w:pPr>
          <w:hyperlink w:history="1" w:anchor="_Toc231982074">
            <w:r w:rsidRPr="002A3D91">
              <w:rPr>
                <w:rStyle w:val="Hyperlink"/>
                <w:rFonts w:cs="Calibri"/>
                <w:bCs/>
                <w:noProof/>
              </w:rPr>
              <w:t>7.2</w:t>
            </w:r>
            <w:r>
              <w:rPr>
                <w:rFonts w:asciiTheme="minorHAnsi" w:hAnsiTheme="minorHAnsi" w:eastAsiaTheme="minorEastAsia"/>
                <w:noProof/>
                <w:lang w:val="nl-NL" w:eastAsia="nl-NL"/>
              </w:rPr>
              <w:tab/>
            </w:r>
            <w:r w:rsidRPr="002A3D91">
              <w:rPr>
                <w:rStyle w:val="Hyperlink"/>
                <w:rFonts w:cs="Calibri"/>
                <w:bCs/>
                <w:noProof/>
              </w:rPr>
              <w:t>Showroom</w:t>
            </w:r>
            <w:r>
              <w:rPr>
                <w:noProof/>
                <w:webHidden/>
              </w:rPr>
              <w:tab/>
            </w:r>
            <w:r>
              <w:rPr>
                <w:noProof/>
                <w:webHidden/>
              </w:rPr>
              <w:fldChar w:fldCharType="begin"/>
            </w:r>
            <w:r>
              <w:rPr>
                <w:noProof/>
                <w:webHidden/>
              </w:rPr>
              <w:instrText xml:space="preserve"> PAGEREF _Toc231982074 \h </w:instrText>
            </w:r>
            <w:r>
              <w:rPr>
                <w:noProof/>
                <w:webHidden/>
              </w:rPr>
            </w:r>
            <w:r>
              <w:rPr>
                <w:noProof/>
                <w:webHidden/>
              </w:rPr>
              <w:fldChar w:fldCharType="separate"/>
            </w:r>
            <w:r>
              <w:rPr>
                <w:noProof/>
                <w:webHidden/>
              </w:rPr>
              <w:t>34</w:t>
            </w:r>
            <w:r>
              <w:rPr>
                <w:noProof/>
                <w:webHidden/>
              </w:rPr>
              <w:fldChar w:fldCharType="end"/>
            </w:r>
          </w:hyperlink>
        </w:p>
        <w:p w:rsidR="00877E02" w:rsidRDefault="00877E02" w14:paraId="195642CC" w14:textId="4E529164">
          <w:pPr>
            <w:pStyle w:val="TOC2"/>
            <w:tabs>
              <w:tab w:val="left" w:pos="960"/>
              <w:tab w:val="right" w:leader="dot" w:pos="9016"/>
            </w:tabs>
            <w:rPr>
              <w:rFonts w:asciiTheme="minorHAnsi" w:hAnsiTheme="minorHAnsi" w:eastAsiaTheme="minorEastAsia"/>
              <w:noProof/>
              <w:lang w:val="nl-NL" w:eastAsia="nl-NL"/>
            </w:rPr>
          </w:pPr>
          <w:hyperlink w:history="1" w:anchor="_Toc231982075">
            <w:r w:rsidRPr="002A3D91">
              <w:rPr>
                <w:rStyle w:val="Hyperlink"/>
                <w:rFonts w:cs="Calibri"/>
                <w:bCs/>
                <w:noProof/>
              </w:rPr>
              <w:t>7.3</w:t>
            </w:r>
            <w:r>
              <w:rPr>
                <w:rFonts w:asciiTheme="minorHAnsi" w:hAnsiTheme="minorHAnsi" w:eastAsiaTheme="minorEastAsia"/>
                <w:noProof/>
                <w:lang w:val="nl-NL" w:eastAsia="nl-NL"/>
              </w:rPr>
              <w:tab/>
            </w:r>
            <w:r w:rsidRPr="002A3D91">
              <w:rPr>
                <w:rStyle w:val="Hyperlink"/>
                <w:rFonts w:cs="Calibri"/>
                <w:bCs/>
                <w:noProof/>
              </w:rPr>
              <w:t>Workshop</w:t>
            </w:r>
            <w:r>
              <w:rPr>
                <w:noProof/>
                <w:webHidden/>
              </w:rPr>
              <w:tab/>
            </w:r>
            <w:r>
              <w:rPr>
                <w:noProof/>
                <w:webHidden/>
              </w:rPr>
              <w:fldChar w:fldCharType="begin"/>
            </w:r>
            <w:r>
              <w:rPr>
                <w:noProof/>
                <w:webHidden/>
              </w:rPr>
              <w:instrText xml:space="preserve"> PAGEREF _Toc231982075 \h </w:instrText>
            </w:r>
            <w:r>
              <w:rPr>
                <w:noProof/>
                <w:webHidden/>
              </w:rPr>
            </w:r>
            <w:r>
              <w:rPr>
                <w:noProof/>
                <w:webHidden/>
              </w:rPr>
              <w:fldChar w:fldCharType="separate"/>
            </w:r>
            <w:r>
              <w:rPr>
                <w:noProof/>
                <w:webHidden/>
              </w:rPr>
              <w:t>34</w:t>
            </w:r>
            <w:r>
              <w:rPr>
                <w:noProof/>
                <w:webHidden/>
              </w:rPr>
              <w:fldChar w:fldCharType="end"/>
            </w:r>
          </w:hyperlink>
        </w:p>
        <w:p w:rsidR="00877E02" w:rsidRDefault="00877E02" w14:paraId="1D4D5BC3" w14:textId="3BB4B930">
          <w:pPr>
            <w:pStyle w:val="TOC2"/>
            <w:tabs>
              <w:tab w:val="left" w:pos="960"/>
              <w:tab w:val="right" w:leader="dot" w:pos="9016"/>
            </w:tabs>
            <w:rPr>
              <w:rFonts w:asciiTheme="minorHAnsi" w:hAnsiTheme="minorHAnsi" w:eastAsiaTheme="minorEastAsia"/>
              <w:noProof/>
              <w:lang w:val="nl-NL" w:eastAsia="nl-NL"/>
            </w:rPr>
          </w:pPr>
          <w:hyperlink w:history="1" w:anchor="_Toc231982076">
            <w:r w:rsidRPr="002A3D91">
              <w:rPr>
                <w:rStyle w:val="Hyperlink"/>
                <w:rFonts w:cs="Calibri"/>
                <w:bCs/>
                <w:noProof/>
              </w:rPr>
              <w:t>7.4</w:t>
            </w:r>
            <w:r>
              <w:rPr>
                <w:rFonts w:asciiTheme="minorHAnsi" w:hAnsiTheme="minorHAnsi" w:eastAsiaTheme="minorEastAsia"/>
                <w:noProof/>
                <w:lang w:val="nl-NL" w:eastAsia="nl-NL"/>
              </w:rPr>
              <w:tab/>
            </w:r>
            <w:r w:rsidRPr="002A3D91">
              <w:rPr>
                <w:rStyle w:val="Hyperlink"/>
                <w:rFonts w:cs="Calibri"/>
                <w:bCs/>
                <w:noProof/>
              </w:rPr>
              <w:t>Conclusion</w:t>
            </w:r>
            <w:r>
              <w:rPr>
                <w:noProof/>
                <w:webHidden/>
              </w:rPr>
              <w:tab/>
            </w:r>
            <w:r>
              <w:rPr>
                <w:noProof/>
                <w:webHidden/>
              </w:rPr>
              <w:fldChar w:fldCharType="begin"/>
            </w:r>
            <w:r>
              <w:rPr>
                <w:noProof/>
                <w:webHidden/>
              </w:rPr>
              <w:instrText xml:space="preserve"> PAGEREF _Toc231982076 \h </w:instrText>
            </w:r>
            <w:r>
              <w:rPr>
                <w:noProof/>
                <w:webHidden/>
              </w:rPr>
            </w:r>
            <w:r>
              <w:rPr>
                <w:noProof/>
                <w:webHidden/>
              </w:rPr>
              <w:fldChar w:fldCharType="separate"/>
            </w:r>
            <w:r>
              <w:rPr>
                <w:noProof/>
                <w:webHidden/>
              </w:rPr>
              <w:t>34</w:t>
            </w:r>
            <w:r>
              <w:rPr>
                <w:noProof/>
                <w:webHidden/>
              </w:rPr>
              <w:fldChar w:fldCharType="end"/>
            </w:r>
          </w:hyperlink>
        </w:p>
        <w:p w:rsidR="00877E02" w:rsidRDefault="00877E02" w14:paraId="3BC5FE8A" w14:textId="3C8A9759">
          <w:pPr>
            <w:pStyle w:val="TOC1"/>
            <w:tabs>
              <w:tab w:val="right" w:leader="dot" w:pos="9016"/>
            </w:tabs>
            <w:rPr>
              <w:rFonts w:asciiTheme="minorHAnsi" w:hAnsiTheme="minorHAnsi" w:eastAsiaTheme="minorEastAsia"/>
              <w:noProof/>
              <w:lang w:val="nl-NL" w:eastAsia="nl-NL"/>
            </w:rPr>
          </w:pPr>
          <w:hyperlink w:history="1" w:anchor="_Toc231982077">
            <w:r w:rsidRPr="002A3D91">
              <w:rPr>
                <w:rStyle w:val="Hyperlink"/>
                <w:noProof/>
              </w:rPr>
              <w:t>KPI’s</w:t>
            </w:r>
            <w:r>
              <w:rPr>
                <w:noProof/>
                <w:webHidden/>
              </w:rPr>
              <w:tab/>
            </w:r>
            <w:r>
              <w:rPr>
                <w:noProof/>
                <w:webHidden/>
              </w:rPr>
              <w:fldChar w:fldCharType="begin"/>
            </w:r>
            <w:r>
              <w:rPr>
                <w:noProof/>
                <w:webHidden/>
              </w:rPr>
              <w:instrText xml:space="preserve"> PAGEREF _Toc231982077 \h </w:instrText>
            </w:r>
            <w:r>
              <w:rPr>
                <w:noProof/>
                <w:webHidden/>
              </w:rPr>
            </w:r>
            <w:r>
              <w:rPr>
                <w:noProof/>
                <w:webHidden/>
              </w:rPr>
              <w:fldChar w:fldCharType="separate"/>
            </w:r>
            <w:r>
              <w:rPr>
                <w:noProof/>
                <w:webHidden/>
              </w:rPr>
              <w:t>35</w:t>
            </w:r>
            <w:r>
              <w:rPr>
                <w:noProof/>
                <w:webHidden/>
              </w:rPr>
              <w:fldChar w:fldCharType="end"/>
            </w:r>
          </w:hyperlink>
        </w:p>
        <w:p w:rsidR="00877E02" w:rsidRDefault="00877E02" w14:paraId="35C2BE8A" w14:textId="5AC5DFDC">
          <w:pPr>
            <w:pStyle w:val="TOC1"/>
            <w:tabs>
              <w:tab w:val="left" w:pos="480"/>
              <w:tab w:val="right" w:leader="dot" w:pos="9016"/>
            </w:tabs>
            <w:rPr>
              <w:rFonts w:asciiTheme="minorHAnsi" w:hAnsiTheme="minorHAnsi" w:eastAsiaTheme="minorEastAsia"/>
              <w:noProof/>
              <w:lang w:val="nl-NL" w:eastAsia="nl-NL"/>
            </w:rPr>
          </w:pPr>
          <w:hyperlink w:history="1" w:anchor="_Toc231982078">
            <w:r w:rsidRPr="002A3D91">
              <w:rPr>
                <w:rStyle w:val="Hyperlink"/>
                <w:noProof/>
              </w:rPr>
              <w:t>8.</w:t>
            </w:r>
            <w:r>
              <w:rPr>
                <w:rFonts w:asciiTheme="minorHAnsi" w:hAnsiTheme="minorHAnsi" w:eastAsiaTheme="minorEastAsia"/>
                <w:noProof/>
                <w:lang w:val="nl-NL" w:eastAsia="nl-NL"/>
              </w:rPr>
              <w:tab/>
            </w:r>
            <w:r w:rsidRPr="002A3D91">
              <w:rPr>
                <w:rStyle w:val="Hyperlink"/>
                <w:noProof/>
              </w:rPr>
              <w:t>Bibliography</w:t>
            </w:r>
            <w:r>
              <w:rPr>
                <w:noProof/>
                <w:webHidden/>
              </w:rPr>
              <w:tab/>
            </w:r>
            <w:r>
              <w:rPr>
                <w:noProof/>
                <w:webHidden/>
              </w:rPr>
              <w:fldChar w:fldCharType="begin"/>
            </w:r>
            <w:r>
              <w:rPr>
                <w:noProof/>
                <w:webHidden/>
              </w:rPr>
              <w:instrText xml:space="preserve"> PAGEREF _Toc231982078 \h </w:instrText>
            </w:r>
            <w:r>
              <w:rPr>
                <w:noProof/>
                <w:webHidden/>
              </w:rPr>
            </w:r>
            <w:r>
              <w:rPr>
                <w:noProof/>
                <w:webHidden/>
              </w:rPr>
              <w:fldChar w:fldCharType="separate"/>
            </w:r>
            <w:r>
              <w:rPr>
                <w:noProof/>
                <w:webHidden/>
              </w:rPr>
              <w:t>39</w:t>
            </w:r>
            <w:r>
              <w:rPr>
                <w:noProof/>
                <w:webHidden/>
              </w:rPr>
              <w:fldChar w:fldCharType="end"/>
            </w:r>
          </w:hyperlink>
        </w:p>
        <w:p w:rsidR="00877E02" w:rsidRDefault="00877E02" w14:paraId="0B1475C6" w14:textId="07C22140">
          <w:pPr>
            <w:pStyle w:val="TOC1"/>
            <w:tabs>
              <w:tab w:val="right" w:leader="dot" w:pos="9016"/>
            </w:tabs>
            <w:rPr>
              <w:rFonts w:asciiTheme="minorHAnsi" w:hAnsiTheme="minorHAnsi" w:eastAsiaTheme="minorEastAsia"/>
              <w:noProof/>
              <w:lang w:val="nl-NL" w:eastAsia="nl-NL"/>
            </w:rPr>
          </w:pPr>
          <w:hyperlink w:history="1" w:anchor="_Toc231982079">
            <w:r w:rsidRPr="002A3D91">
              <w:rPr>
                <w:rStyle w:val="Hyperlink"/>
                <w:noProof/>
              </w:rPr>
              <w:t>9. Appendices</w:t>
            </w:r>
            <w:r>
              <w:rPr>
                <w:noProof/>
                <w:webHidden/>
              </w:rPr>
              <w:tab/>
            </w:r>
            <w:r>
              <w:rPr>
                <w:noProof/>
                <w:webHidden/>
              </w:rPr>
              <w:fldChar w:fldCharType="begin"/>
            </w:r>
            <w:r>
              <w:rPr>
                <w:noProof/>
                <w:webHidden/>
              </w:rPr>
              <w:instrText xml:space="preserve"> PAGEREF _Toc231982079 \h </w:instrText>
            </w:r>
            <w:r>
              <w:rPr>
                <w:noProof/>
                <w:webHidden/>
              </w:rPr>
            </w:r>
            <w:r>
              <w:rPr>
                <w:noProof/>
                <w:webHidden/>
              </w:rPr>
              <w:fldChar w:fldCharType="separate"/>
            </w:r>
            <w:r>
              <w:rPr>
                <w:noProof/>
                <w:webHidden/>
              </w:rPr>
              <w:t>42</w:t>
            </w:r>
            <w:r>
              <w:rPr>
                <w:noProof/>
                <w:webHidden/>
              </w:rPr>
              <w:fldChar w:fldCharType="end"/>
            </w:r>
          </w:hyperlink>
        </w:p>
        <w:p w:rsidR="00410E07" w:rsidP="0081774A" w:rsidRDefault="0081774A" w14:paraId="703BF1E6" w14:textId="2AF6E4E7">
          <w:pPr>
            <w:rPr>
              <w:rFonts w:cs="Arial"/>
              <w:b/>
              <w:bCs/>
              <w:noProof/>
            </w:rPr>
          </w:pPr>
          <w:r w:rsidRPr="00410E07">
            <w:rPr>
              <w:rFonts w:cs="Arial"/>
              <w:b/>
            </w:rPr>
            <w:fldChar w:fldCharType="end"/>
          </w:r>
        </w:p>
        <w:p w:rsidR="00410E07" w:rsidP="0081774A" w:rsidRDefault="00410E07" w14:paraId="3690B254" w14:textId="77777777">
          <w:pPr>
            <w:rPr>
              <w:rFonts w:cs="Arial"/>
              <w:b/>
              <w:bCs/>
              <w:noProof/>
            </w:rPr>
          </w:pPr>
        </w:p>
        <w:p w:rsidRPr="00110AFC" w:rsidR="0081774A" w:rsidP="0081774A" w:rsidRDefault="00EE1D06" w14:paraId="1FC742B3" w14:textId="46BC0821">
          <w:pPr>
            <w:rPr>
              <w:rFonts w:ascii="Calibri" w:hAnsi="Calibri" w:cs="Calibri"/>
            </w:rPr>
          </w:pPr>
        </w:p>
      </w:sdtContent>
    </w:sdt>
    <w:p w:rsidR="00877E02" w:rsidRDefault="00877E02" w14:paraId="4A4F9E45" w14:textId="77777777">
      <w:pPr>
        <w:rPr>
          <w:rFonts w:cs="Calibri" w:eastAsiaTheme="minorEastAsia"/>
          <w:bCs/>
          <w:caps/>
          <w:color w:val="FFFFFF" w:themeColor="background1"/>
          <w:spacing w:val="15"/>
          <w:kern w:val="0"/>
          <w:sz w:val="22"/>
          <w:szCs w:val="36"/>
          <w:lang w:val="en-GB"/>
          <w14:ligatures w14:val="none"/>
        </w:rPr>
      </w:pPr>
      <w:bookmarkStart w:name="_Toc231982039" w:id="3"/>
      <w:r>
        <w:rPr>
          <w:rFonts w:cs="Calibri"/>
          <w:bCs/>
          <w:szCs w:val="36"/>
          <w:lang w:val="en-GB"/>
        </w:rPr>
        <w:br w:type="page"/>
      </w:r>
    </w:p>
    <w:p w:rsidRPr="00BC3E5B" w:rsidR="00D95E7D" w:rsidP="00EB538D" w:rsidRDefault="00EB538D" w14:paraId="66CF0C43" w14:textId="399D9C43">
      <w:pPr>
        <w:pStyle w:val="Heading1"/>
        <w:ind w:left="709" w:hanging="709"/>
        <w:rPr>
          <w:rFonts w:cs="Calibri"/>
          <w:szCs w:val="36"/>
          <w:lang w:val="en-GB"/>
        </w:rPr>
      </w:pPr>
      <w:r w:rsidRPr="00BC3E5B">
        <w:rPr>
          <w:rFonts w:cs="Calibri"/>
          <w:bCs/>
          <w:szCs w:val="36"/>
          <w:lang w:val="en-GB"/>
        </w:rPr>
        <w:t xml:space="preserve">1. </w:t>
      </w:r>
      <w:r w:rsidRPr="00BC3E5B" w:rsidR="00D95E7D">
        <w:rPr>
          <w:rFonts w:cs="Calibri"/>
          <w:szCs w:val="36"/>
          <w:lang w:val="en-GB"/>
        </w:rPr>
        <w:t>Questions</w:t>
      </w:r>
      <w:bookmarkEnd w:id="0"/>
      <w:bookmarkEnd w:id="3"/>
    </w:p>
    <w:p w:rsidRPr="00BC3E5B" w:rsidR="00D95E7D" w:rsidP="00EB538D" w:rsidRDefault="00EB538D" w14:paraId="30164DE4" w14:textId="69AA6685">
      <w:pPr>
        <w:pStyle w:val="Heading2"/>
        <w:ind w:left="709" w:hanging="709"/>
        <w:rPr>
          <w:lang w:val="en-GB"/>
        </w:rPr>
      </w:pPr>
      <w:bookmarkStart w:name="_Toc218177550" w:id="4"/>
      <w:bookmarkStart w:name="_Toc231982040" w:id="5"/>
      <w:r w:rsidRPr="00BC3E5B">
        <w:rPr>
          <w:lang w:val="en-GB"/>
        </w:rPr>
        <w:t xml:space="preserve">1.1 </w:t>
      </w:r>
      <w:r w:rsidRPr="00BC3E5B" w:rsidR="00D95E7D">
        <w:rPr>
          <w:lang w:val="en-GB"/>
        </w:rPr>
        <w:t>Main Question:</w:t>
      </w:r>
      <w:bookmarkEnd w:id="4"/>
      <w:bookmarkEnd w:id="5"/>
    </w:p>
    <w:p w:rsidRPr="00410E07" w:rsidR="00413F94" w:rsidP="007628B0" w:rsidRDefault="00413F94" w14:paraId="159F80DA" w14:textId="5DAF0E37">
      <w:pPr>
        <w:rPr>
          <w:rFonts w:cs="Arial"/>
          <w:b/>
        </w:rPr>
      </w:pPr>
      <w:bookmarkStart w:name="_Toc218177551" w:id="6"/>
      <w:r w:rsidRPr="00410E07">
        <w:rPr>
          <w:rFonts w:cs="Arial"/>
          <w:lang w:val="en-GB"/>
        </w:rPr>
        <w:t>How can data usage within the Inzicht</w:t>
      </w:r>
      <w:r w:rsidRPr="00410E07" w:rsidR="006B5E80">
        <w:rPr>
          <w:rFonts w:cs="Arial"/>
          <w:lang w:val="en-GB"/>
        </w:rPr>
        <w:t>-</w:t>
      </w:r>
      <w:r w:rsidRPr="00410E07">
        <w:rPr>
          <w:rFonts w:cs="Arial"/>
          <w:lang w:val="en-GB"/>
        </w:rPr>
        <w:t>Verlicht dataspace be governed and evaluated in a responsible, transparent, and ethical way, resulting in practical recommendations that support policymakers by the end of the project?</w:t>
      </w:r>
      <w:r w:rsidRPr="00410E07">
        <w:rPr>
          <w:rFonts w:cs="Arial"/>
        </w:rPr>
        <w:t xml:space="preserve">  </w:t>
      </w:r>
    </w:p>
    <w:p w:rsidRPr="00110AFC" w:rsidR="00D95E7D" w:rsidP="00EB538D" w:rsidRDefault="00EB538D" w14:paraId="215698FC" w14:textId="33D1968A">
      <w:pPr>
        <w:pStyle w:val="Heading2"/>
        <w:ind w:left="709" w:hanging="709"/>
      </w:pPr>
      <w:bookmarkStart w:name="_Toc231982041" w:id="7"/>
      <w:r>
        <w:t xml:space="preserve">1.2 </w:t>
      </w:r>
      <w:r w:rsidRPr="00110AFC" w:rsidR="00D95E7D">
        <w:t>Sub-</w:t>
      </w:r>
      <w:r w:rsidRPr="007E6725" w:rsidR="00D95E7D">
        <w:t>Question</w:t>
      </w:r>
      <w:r w:rsidRPr="00110AFC" w:rsidR="00D95E7D">
        <w:t>:</w:t>
      </w:r>
      <w:bookmarkEnd w:id="6"/>
      <w:bookmarkEnd w:id="7"/>
    </w:p>
    <w:p w:rsidRPr="00410E07" w:rsidR="00110AFC" w:rsidP="00110AFC" w:rsidRDefault="00110AFC" w14:paraId="3A01992F" w14:textId="77777777">
      <w:pPr>
        <w:numPr>
          <w:ilvl w:val="0"/>
          <w:numId w:val="2"/>
        </w:numPr>
        <w:rPr>
          <w:rFonts w:cs="Arial"/>
        </w:rPr>
      </w:pPr>
      <w:r w:rsidRPr="00410E07">
        <w:rPr>
          <w:rFonts w:cs="Arial"/>
          <w:lang w:val="en-GB"/>
        </w:rPr>
        <w:t>What </w:t>
      </w:r>
      <w:r w:rsidRPr="00410E07">
        <w:rPr>
          <w:rFonts w:cs="Arial"/>
        </w:rPr>
        <w:t>principles and practices contribute to responsible and ethical data usage within smart city dataspaces? </w:t>
      </w:r>
    </w:p>
    <w:p w:rsidRPr="00410E07" w:rsidR="00110AFC" w:rsidP="00110AFC" w:rsidRDefault="00110AFC" w14:paraId="6A5E6DFF" w14:textId="462668D4">
      <w:pPr>
        <w:numPr>
          <w:ilvl w:val="0"/>
          <w:numId w:val="3"/>
        </w:numPr>
        <w:rPr>
          <w:rFonts w:cs="Arial"/>
        </w:rPr>
      </w:pPr>
      <w:r w:rsidRPr="00410E07">
        <w:rPr>
          <w:rFonts w:cs="Arial"/>
          <w:lang w:val="en-GB"/>
        </w:rPr>
        <w:t>How can data usage within a dataspace be monitored and evaluated to ensure accountability and transparency?</w:t>
      </w:r>
      <w:r w:rsidRPr="00410E07">
        <w:rPr>
          <w:rFonts w:cs="Arial"/>
        </w:rPr>
        <w:t> </w:t>
      </w:r>
    </w:p>
    <w:p w:rsidRPr="00410E07" w:rsidR="00110AFC" w:rsidP="00110AFC" w:rsidRDefault="00110AFC" w14:paraId="43AECC3E" w14:textId="1A3DBC1B">
      <w:pPr>
        <w:numPr>
          <w:ilvl w:val="0"/>
          <w:numId w:val="4"/>
        </w:numPr>
        <w:rPr>
          <w:rFonts w:cs="Arial"/>
        </w:rPr>
      </w:pPr>
      <w:r w:rsidRPr="00410E07">
        <w:rPr>
          <w:rFonts w:cs="Arial"/>
        </w:rPr>
        <w:t>What legal, ethical, and </w:t>
      </w:r>
      <w:r w:rsidRPr="00410E07" w:rsidR="00CA10D6">
        <w:rPr>
          <w:rFonts w:cs="Arial"/>
        </w:rPr>
        <w:t>organizational</w:t>
      </w:r>
      <w:r w:rsidRPr="00410E07">
        <w:rPr>
          <w:rFonts w:cs="Arial"/>
        </w:rPr>
        <w:t> risks may arise from data sharing and usage, and how can these risks be mitigated? </w:t>
      </w:r>
    </w:p>
    <w:p w:rsidRPr="00410E07" w:rsidR="00110AFC" w:rsidP="00110AFC" w:rsidRDefault="00110AFC" w14:paraId="23DE42FD" w14:textId="77777777">
      <w:pPr>
        <w:numPr>
          <w:ilvl w:val="0"/>
          <w:numId w:val="5"/>
        </w:numPr>
        <w:rPr>
          <w:rFonts w:cs="Arial"/>
        </w:rPr>
      </w:pPr>
      <w:r w:rsidRPr="00410E07">
        <w:rPr>
          <w:rFonts w:cs="Arial"/>
        </w:rPr>
        <w:t>How can governance procedures and protocols support stakeholders and intermediaries </w:t>
      </w:r>
      <w:proofErr w:type="gramStart"/>
      <w:r w:rsidRPr="00410E07">
        <w:rPr>
          <w:rFonts w:cs="Arial"/>
        </w:rPr>
        <w:t>involved</w:t>
      </w:r>
      <w:proofErr w:type="gramEnd"/>
      <w:r w:rsidRPr="00410E07">
        <w:rPr>
          <w:rFonts w:cs="Arial"/>
        </w:rPr>
        <w:t> in data exchange in using data responsibly while maintaining societal value and privacy protection</w:t>
      </w:r>
      <w:r w:rsidRPr="00410E07">
        <w:rPr>
          <w:rFonts w:cs="Arial"/>
          <w:lang w:val="en-GB"/>
        </w:rPr>
        <w:t>?</w:t>
      </w:r>
      <w:r w:rsidRPr="00410E07">
        <w:rPr>
          <w:rFonts w:cs="Arial"/>
        </w:rPr>
        <w:t> </w:t>
      </w:r>
    </w:p>
    <w:p w:rsidRPr="00410E07" w:rsidR="00110AFC" w:rsidP="00110AFC" w:rsidRDefault="00110AFC" w14:paraId="20BC9CEF" w14:textId="77777777">
      <w:pPr>
        <w:numPr>
          <w:ilvl w:val="0"/>
          <w:numId w:val="6"/>
        </w:numPr>
        <w:rPr>
          <w:rFonts w:cs="Arial"/>
        </w:rPr>
      </w:pPr>
      <w:r w:rsidRPr="00410E07">
        <w:rPr>
          <w:rFonts w:cs="Arial"/>
        </w:rPr>
        <w:t>What recommendations can be provided to policymakers to support long-term and sustainable governance of the dataspace</w:t>
      </w:r>
      <w:r w:rsidRPr="00410E07">
        <w:rPr>
          <w:rFonts w:cs="Arial"/>
          <w:lang w:val="en-GB"/>
        </w:rPr>
        <w:t>?</w:t>
      </w:r>
      <w:r w:rsidRPr="00410E07">
        <w:rPr>
          <w:rFonts w:cs="Arial"/>
        </w:rPr>
        <w:t> </w:t>
      </w:r>
    </w:p>
    <w:p w:rsidRPr="00110AFC" w:rsidR="00D95E7D" w:rsidP="00110AFC" w:rsidRDefault="00D95E7D" w14:paraId="40A15EE5" w14:textId="77777777">
      <w:pPr>
        <w:rPr>
          <w:rFonts w:ascii="Calibri" w:hAnsi="Calibri" w:cs="Calibri"/>
        </w:rPr>
      </w:pPr>
    </w:p>
    <w:p w:rsidRPr="00110AFC" w:rsidR="00D95E7D" w:rsidP="00110AFC" w:rsidRDefault="00D95E7D" w14:paraId="09C24E1D" w14:textId="77777777">
      <w:pPr>
        <w:rPr>
          <w:rFonts w:ascii="Calibri" w:hAnsi="Calibri" w:cs="Calibri"/>
        </w:rPr>
      </w:pPr>
    </w:p>
    <w:p w:rsidRPr="00110AFC" w:rsidR="00D95E7D" w:rsidP="00110AFC" w:rsidRDefault="00D95E7D" w14:paraId="7E3B569E" w14:textId="77777777">
      <w:pPr>
        <w:rPr>
          <w:rFonts w:ascii="Calibri" w:hAnsi="Calibri" w:cs="Calibri"/>
        </w:rPr>
      </w:pPr>
    </w:p>
    <w:p w:rsidRPr="00110AFC" w:rsidR="00D95E7D" w:rsidP="00110AFC" w:rsidRDefault="00D95E7D" w14:paraId="4576F26B" w14:textId="77777777">
      <w:pPr>
        <w:rPr>
          <w:rFonts w:ascii="Calibri" w:hAnsi="Calibri" w:cs="Calibri"/>
        </w:rPr>
      </w:pPr>
    </w:p>
    <w:p w:rsidR="00110AFC" w:rsidP="00D95E7D" w:rsidRDefault="00110AFC" w14:paraId="1AECC152" w14:textId="77777777">
      <w:pPr>
        <w:rPr>
          <w:rFonts w:ascii="Calibri" w:hAnsi="Calibri" w:cs="Calibri"/>
        </w:rPr>
      </w:pPr>
    </w:p>
    <w:p w:rsidR="007628B0" w:rsidP="00D95E7D" w:rsidRDefault="007628B0" w14:paraId="5CE2ADA1" w14:textId="77777777">
      <w:pPr>
        <w:rPr>
          <w:rFonts w:ascii="Calibri" w:hAnsi="Calibri" w:cs="Calibri"/>
        </w:rPr>
      </w:pPr>
    </w:p>
    <w:p w:rsidR="007628B0" w:rsidP="00D95E7D" w:rsidRDefault="007628B0" w14:paraId="5179369D" w14:textId="77777777">
      <w:pPr>
        <w:rPr>
          <w:rFonts w:ascii="Calibri" w:hAnsi="Calibri" w:cs="Calibri"/>
        </w:rPr>
      </w:pPr>
    </w:p>
    <w:p w:rsidR="007628B0" w:rsidP="00D95E7D" w:rsidRDefault="007628B0" w14:paraId="1F0290EA" w14:textId="77777777">
      <w:pPr>
        <w:rPr>
          <w:rFonts w:ascii="Calibri" w:hAnsi="Calibri" w:cs="Calibri"/>
        </w:rPr>
      </w:pPr>
    </w:p>
    <w:p w:rsidR="007628B0" w:rsidP="00D95E7D" w:rsidRDefault="007628B0" w14:paraId="6CEDB192" w14:textId="77777777">
      <w:pPr>
        <w:rPr>
          <w:rFonts w:ascii="Calibri" w:hAnsi="Calibri" w:cs="Calibri"/>
        </w:rPr>
      </w:pPr>
    </w:p>
    <w:p w:rsidRPr="00110AFC" w:rsidR="007628B0" w:rsidP="00D95E7D" w:rsidRDefault="007628B0" w14:paraId="7144F0C7" w14:textId="77777777">
      <w:pPr>
        <w:rPr>
          <w:rFonts w:ascii="Calibri" w:hAnsi="Calibri" w:cs="Calibri"/>
        </w:rPr>
      </w:pPr>
    </w:p>
    <w:p w:rsidR="00EB538D" w:rsidP="00D95E7D" w:rsidRDefault="00EB538D" w14:paraId="780E3D99" w14:textId="77777777">
      <w:pPr>
        <w:rPr>
          <w:rFonts w:ascii="Calibri" w:hAnsi="Calibri" w:cs="Calibri"/>
        </w:rPr>
      </w:pPr>
    </w:p>
    <w:p w:rsidR="00EB538D" w:rsidP="00D95E7D" w:rsidRDefault="00EB538D" w14:paraId="15B6CD88" w14:textId="77777777">
      <w:pPr>
        <w:rPr>
          <w:rFonts w:ascii="Calibri" w:hAnsi="Calibri" w:cs="Calibri"/>
        </w:rPr>
      </w:pPr>
    </w:p>
    <w:p w:rsidR="00EB538D" w:rsidP="00D95E7D" w:rsidRDefault="00EB538D" w14:paraId="53004D4D" w14:textId="77777777">
      <w:pPr>
        <w:rPr>
          <w:rFonts w:ascii="Calibri" w:hAnsi="Calibri" w:cs="Calibri"/>
        </w:rPr>
      </w:pPr>
    </w:p>
    <w:p w:rsidRPr="00110AFC" w:rsidR="00EB538D" w:rsidP="00D95E7D" w:rsidRDefault="00EB538D" w14:paraId="3EFB2452" w14:textId="77777777">
      <w:pPr>
        <w:rPr>
          <w:rFonts w:ascii="Calibri" w:hAnsi="Calibri" w:cs="Calibri"/>
        </w:rPr>
      </w:pPr>
    </w:p>
    <w:p w:rsidRPr="00BC3E5B" w:rsidR="00D95E7D" w:rsidP="00EB538D" w:rsidRDefault="00EB538D" w14:paraId="41408C26" w14:textId="1C5E4F76">
      <w:pPr>
        <w:pStyle w:val="Heading1"/>
        <w:ind w:left="709" w:hanging="709"/>
        <w:rPr>
          <w:rFonts w:cs="Calibri"/>
          <w:szCs w:val="36"/>
          <w:lang w:val="en-GB"/>
        </w:rPr>
      </w:pPr>
      <w:bookmarkStart w:name="_Toc218177552" w:id="8"/>
      <w:bookmarkStart w:name="_Toc231982042" w:id="9"/>
      <w:r w:rsidRPr="00BC3E5B">
        <w:rPr>
          <w:rFonts w:cs="Calibri"/>
          <w:bCs/>
          <w:szCs w:val="36"/>
          <w:lang w:val="en-GB"/>
        </w:rPr>
        <w:t xml:space="preserve">2. </w:t>
      </w:r>
      <w:r w:rsidRPr="00BC3E5B" w:rsidR="00D95E7D">
        <w:rPr>
          <w:rFonts w:cs="Calibri"/>
          <w:szCs w:val="36"/>
          <w:lang w:val="en-GB"/>
        </w:rPr>
        <w:t>Main Question</w:t>
      </w:r>
      <w:bookmarkEnd w:id="8"/>
      <w:bookmarkEnd w:id="9"/>
    </w:p>
    <w:p w:rsidRPr="00110AFC" w:rsidR="00110AFC" w:rsidP="007628B0" w:rsidRDefault="00110AFC" w14:paraId="2724D310" w14:textId="77777777">
      <w:r w:rsidRPr="00110AFC">
        <w:rPr>
          <w:lang w:val="en-GB"/>
        </w:rPr>
        <w:t>How can data usage within the Inzicht Verlicht dataspace be governed and evaluated in a responsible, transparent, and ethical way, resulting in practical recommendations that support policymakers by the end of the project?</w:t>
      </w:r>
      <w:r w:rsidRPr="00110AFC">
        <w:t xml:space="preserve">  </w:t>
      </w:r>
    </w:p>
    <w:p w:rsidR="00D95E7D" w:rsidP="0035434A" w:rsidRDefault="00D95E7D" w14:paraId="0294B15C" w14:textId="77777777"/>
    <w:p w:rsidR="00110AFC" w:rsidP="00110AFC" w:rsidRDefault="00110AFC" w14:paraId="08DD0715" w14:textId="77777777"/>
    <w:p w:rsidR="00110AFC" w:rsidP="00110AFC" w:rsidRDefault="00110AFC" w14:paraId="284DBF82" w14:textId="77777777"/>
    <w:p w:rsidR="00110AFC" w:rsidP="00110AFC" w:rsidRDefault="00110AFC" w14:paraId="490DD450" w14:textId="77777777"/>
    <w:p w:rsidR="00110AFC" w:rsidP="00110AFC" w:rsidRDefault="00110AFC" w14:paraId="5F9DC9FF" w14:textId="77777777"/>
    <w:p w:rsidR="00110AFC" w:rsidP="00110AFC" w:rsidRDefault="00110AFC" w14:paraId="18289CEF" w14:textId="77777777"/>
    <w:p w:rsidR="00110AFC" w:rsidP="00110AFC" w:rsidRDefault="00110AFC" w14:paraId="09D143F2" w14:textId="77777777"/>
    <w:p w:rsidR="00110AFC" w:rsidP="00110AFC" w:rsidRDefault="00110AFC" w14:paraId="7162835A" w14:textId="77777777"/>
    <w:p w:rsidR="00110AFC" w:rsidP="00110AFC" w:rsidRDefault="00110AFC" w14:paraId="5D1E74B7" w14:textId="77777777"/>
    <w:p w:rsidR="00110AFC" w:rsidP="00110AFC" w:rsidRDefault="00110AFC" w14:paraId="1AC4F9C5" w14:textId="77777777"/>
    <w:p w:rsidR="00110AFC" w:rsidP="00110AFC" w:rsidRDefault="00110AFC" w14:paraId="775196E7" w14:textId="77777777"/>
    <w:p w:rsidR="00110AFC" w:rsidP="00110AFC" w:rsidRDefault="00110AFC" w14:paraId="62175D93" w14:textId="77777777"/>
    <w:p w:rsidR="00110AFC" w:rsidP="00110AFC" w:rsidRDefault="00110AFC" w14:paraId="4EF1929D" w14:textId="77777777"/>
    <w:p w:rsidR="00110AFC" w:rsidP="00110AFC" w:rsidRDefault="00110AFC" w14:paraId="1EE19325" w14:textId="77777777"/>
    <w:p w:rsidR="00110AFC" w:rsidP="00110AFC" w:rsidRDefault="00110AFC" w14:paraId="1FAA2BE0" w14:textId="77777777"/>
    <w:p w:rsidR="00110AFC" w:rsidP="00110AFC" w:rsidRDefault="00110AFC" w14:paraId="701AE993" w14:textId="77777777"/>
    <w:p w:rsidR="00110AFC" w:rsidP="00110AFC" w:rsidRDefault="00110AFC" w14:paraId="63417129" w14:textId="77777777"/>
    <w:p w:rsidR="00110AFC" w:rsidP="00110AFC" w:rsidRDefault="00110AFC" w14:paraId="541B743B" w14:textId="77777777"/>
    <w:p w:rsidR="00110AFC" w:rsidP="00110AFC" w:rsidRDefault="00110AFC" w14:paraId="054E0626" w14:textId="77777777"/>
    <w:p w:rsidRPr="00110AFC" w:rsidR="00110AFC" w:rsidP="00110AFC" w:rsidRDefault="00110AFC" w14:paraId="68D43594" w14:textId="77777777"/>
    <w:p w:rsidR="00D95E7D" w:rsidP="00D95E7D" w:rsidRDefault="00D95E7D" w14:paraId="1D64D417" w14:textId="77777777">
      <w:pPr>
        <w:rPr>
          <w:rFonts w:ascii="Calibri" w:hAnsi="Calibri" w:cs="Calibri"/>
        </w:rPr>
      </w:pPr>
    </w:p>
    <w:p w:rsidRPr="00110AFC" w:rsidR="007E2A4E" w:rsidP="00D95E7D" w:rsidRDefault="007E2A4E" w14:paraId="77C9D8AA" w14:textId="77777777">
      <w:pPr>
        <w:rPr>
          <w:rFonts w:ascii="Calibri" w:hAnsi="Calibri" w:cs="Calibri"/>
        </w:rPr>
      </w:pPr>
    </w:p>
    <w:p w:rsidR="617319DD" w:rsidP="00DE5C56" w:rsidRDefault="617319DD" w14:paraId="1BF741ED" w14:textId="384C5B10"/>
    <w:p w:rsidR="617319DD" w:rsidP="617319DD" w:rsidRDefault="617319DD" w14:paraId="0682505A" w14:textId="4C173044"/>
    <w:p w:rsidR="00C322E5" w:rsidP="617319DD" w:rsidRDefault="00C322E5" w14:paraId="0D77BBE9" w14:textId="77777777"/>
    <w:p w:rsidR="15C5FCB7" w:rsidP="617319DD" w:rsidRDefault="15C5FCB7" w14:paraId="658EC5A1" w14:textId="0C6F40D7"/>
    <w:p w:rsidRPr="00BC3E5B" w:rsidR="00D95E7D" w:rsidP="002561D7" w:rsidRDefault="002561D7" w14:paraId="40293CA4" w14:textId="65275C7D">
      <w:pPr>
        <w:pStyle w:val="Heading1"/>
        <w:ind w:left="709" w:hanging="709"/>
        <w:rPr>
          <w:rFonts w:cs="Calibri"/>
          <w:szCs w:val="36"/>
          <w:lang w:val="en-GB"/>
        </w:rPr>
      </w:pPr>
      <w:bookmarkStart w:name="_Toc218177553" w:id="10"/>
      <w:bookmarkStart w:name="_Toc231982043" w:id="11"/>
      <w:r w:rsidRPr="00BC3E5B">
        <w:rPr>
          <w:rFonts w:cs="Calibri"/>
          <w:bCs/>
          <w:szCs w:val="36"/>
          <w:lang w:val="en-GB"/>
        </w:rPr>
        <w:t xml:space="preserve">3. </w:t>
      </w:r>
      <w:r w:rsidRPr="00BC3E5B" w:rsidR="00D95E7D">
        <w:rPr>
          <w:rFonts w:cs="Calibri"/>
          <w:szCs w:val="36"/>
          <w:lang w:val="en-GB"/>
        </w:rPr>
        <w:t>Question 1</w:t>
      </w:r>
      <w:bookmarkEnd w:id="10"/>
      <w:bookmarkEnd w:id="11"/>
    </w:p>
    <w:p w:rsidRPr="00C322E5" w:rsidR="00110AFC" w:rsidP="00110AFC" w:rsidRDefault="3E9673C0" w14:paraId="77C7F498" w14:textId="4A3D8A68">
      <w:pPr>
        <w:rPr>
          <w:b/>
          <w:i/>
        </w:rPr>
      </w:pPr>
      <w:r w:rsidRPr="00C322E5">
        <w:rPr>
          <w:b/>
          <w:i/>
          <w:lang w:val="en-GB"/>
        </w:rPr>
        <w:t>“</w:t>
      </w:r>
      <w:r w:rsidRPr="00C322E5" w:rsidR="00110AFC">
        <w:rPr>
          <w:b/>
          <w:i/>
          <w:lang w:val="en-GB"/>
        </w:rPr>
        <w:t>What </w:t>
      </w:r>
      <w:r w:rsidRPr="00C322E5" w:rsidR="00110AFC">
        <w:rPr>
          <w:b/>
          <w:i/>
        </w:rPr>
        <w:t>principles and practices contribute to responsible and ethical data usage within smart city dataspaces</w:t>
      </w:r>
      <w:r w:rsidRPr="00C322E5" w:rsidR="5BAB6417">
        <w:rPr>
          <w:b/>
          <w:i/>
        </w:rPr>
        <w:t>?</w:t>
      </w:r>
      <w:r w:rsidRPr="00C322E5" w:rsidR="44E38FB7">
        <w:rPr>
          <w:b/>
          <w:i/>
        </w:rPr>
        <w:t>”</w:t>
      </w:r>
    </w:p>
    <w:tbl>
      <w:tblPr>
        <w:tblStyle w:val="TableGrid"/>
        <w:tblW w:w="11058" w:type="dxa"/>
        <w:tblInd w:w="-998" w:type="dxa"/>
        <w:tblLook w:val="04A0" w:firstRow="1" w:lastRow="0" w:firstColumn="1" w:lastColumn="0" w:noHBand="0" w:noVBand="1"/>
      </w:tblPr>
      <w:tblGrid>
        <w:gridCol w:w="2733"/>
        <w:gridCol w:w="4629"/>
        <w:gridCol w:w="2045"/>
        <w:gridCol w:w="1651"/>
      </w:tblGrid>
      <w:tr w:rsidRPr="00110AFC" w:rsidR="0064576E" w:rsidTr="007E2A4E" w14:paraId="5978D117" w14:textId="77777777">
        <w:tc>
          <w:tcPr>
            <w:tcW w:w="1407" w:type="dxa"/>
          </w:tcPr>
          <w:p w:rsidRPr="009C1CFB" w:rsidR="00D95E7D" w:rsidP="007E2A4E" w:rsidRDefault="00D95E7D" w14:paraId="1B6FF0F8" w14:textId="77777777">
            <w:pPr>
              <w:rPr>
                <w:b/>
              </w:rPr>
            </w:pPr>
            <w:r w:rsidRPr="009C1CFB">
              <w:rPr>
                <w:b/>
              </w:rPr>
              <w:t>Research Strategies</w:t>
            </w:r>
          </w:p>
        </w:tc>
        <w:tc>
          <w:tcPr>
            <w:tcW w:w="5682" w:type="dxa"/>
          </w:tcPr>
          <w:p w:rsidRPr="009C1CFB" w:rsidR="00D95E7D" w:rsidP="007E2A4E" w:rsidRDefault="00D95E7D" w14:paraId="307C1417" w14:textId="77777777">
            <w:pPr>
              <w:rPr>
                <w:b/>
              </w:rPr>
            </w:pPr>
            <w:r w:rsidRPr="009C1CFB">
              <w:rPr>
                <w:b/>
              </w:rPr>
              <w:t>How are the Strategies Applied</w:t>
            </w:r>
          </w:p>
        </w:tc>
        <w:tc>
          <w:tcPr>
            <w:tcW w:w="2261" w:type="dxa"/>
          </w:tcPr>
          <w:p w:rsidRPr="009C1CFB" w:rsidR="00D95E7D" w:rsidP="007E2A4E" w:rsidRDefault="00D95E7D" w14:paraId="231B8076" w14:textId="77777777">
            <w:pPr>
              <w:rPr>
                <w:b/>
              </w:rPr>
            </w:pPr>
            <w:r w:rsidRPr="009C1CFB">
              <w:rPr>
                <w:b/>
              </w:rPr>
              <w:t>Validation</w:t>
            </w:r>
          </w:p>
        </w:tc>
        <w:tc>
          <w:tcPr>
            <w:tcW w:w="1708" w:type="dxa"/>
          </w:tcPr>
          <w:p w:rsidRPr="009C1CFB" w:rsidR="00D95E7D" w:rsidP="007E2A4E" w:rsidRDefault="00D95E7D" w14:paraId="711BFAFE" w14:textId="77777777">
            <w:pPr>
              <w:rPr>
                <w:b/>
              </w:rPr>
            </w:pPr>
            <w:proofErr w:type="gramStart"/>
            <w:r w:rsidRPr="009C1CFB">
              <w:rPr>
                <w:b/>
              </w:rPr>
              <w:t>Stepping Stones</w:t>
            </w:r>
            <w:proofErr w:type="gramEnd"/>
          </w:p>
        </w:tc>
      </w:tr>
      <w:tr w:rsidRPr="00110AFC" w:rsidR="0064576E" w:rsidTr="007E2A4E" w14:paraId="37AB50BA" w14:textId="77777777">
        <w:trPr>
          <w:trHeight w:val="5755"/>
        </w:trPr>
        <w:tc>
          <w:tcPr>
            <w:tcW w:w="1407" w:type="dxa"/>
          </w:tcPr>
          <w:p w:rsidR="00A75039" w:rsidP="00A75039" w:rsidRDefault="00A75039" w14:paraId="647FB0D4" w14:textId="77777777">
            <w:r w:rsidRPr="00A75039">
              <w:rPr>
                <w:lang w:val="en-GB"/>
              </w:rPr>
              <w:t>Library - Literature Study, </w:t>
            </w:r>
            <w:proofErr w:type="gramStart"/>
            <w:r w:rsidRPr="00A75039">
              <w:rPr>
                <w:lang w:val="en-GB"/>
              </w:rPr>
              <w:t>Best</w:t>
            </w:r>
            <w:proofErr w:type="gramEnd"/>
            <w:r w:rsidRPr="00A75039">
              <w:rPr>
                <w:lang w:val="en-GB"/>
              </w:rPr>
              <w:t> good and bad practices</w:t>
            </w:r>
            <w:r w:rsidRPr="00A75039">
              <w:t> </w:t>
            </w:r>
          </w:p>
          <w:p w:rsidRPr="00FF5DE8" w:rsidR="00FF5DE8" w:rsidP="00A75039" w:rsidRDefault="00FF5DE8" w14:paraId="7D4C5578" w14:textId="77777777"/>
          <w:p w:rsidRPr="0041425C" w:rsidR="0041425C" w:rsidP="00A75039" w:rsidRDefault="00FF5DE8" w14:paraId="46473A76" w14:textId="50BF8B8B">
            <w:r>
              <w:rPr>
                <w:noProof/>
              </w:rPr>
              <w:drawing>
                <wp:inline distT="0" distB="0" distL="0" distR="0" wp14:anchorId="4D530FD7" wp14:editId="2172EB74">
                  <wp:extent cx="476885" cy="461010"/>
                  <wp:effectExtent l="0" t="0" r="0" b="0"/>
                  <wp:docPr id="1090982065" name="Picture 1" descr="libr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brary"/>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6885" cy="461010"/>
                          </a:xfrm>
                          <a:prstGeom prst="rect">
                            <a:avLst/>
                          </a:prstGeom>
                          <a:noFill/>
                          <a:ln>
                            <a:noFill/>
                          </a:ln>
                        </pic:spPr>
                      </pic:pic>
                    </a:graphicData>
                  </a:graphic>
                </wp:inline>
              </w:drawing>
            </w:r>
          </w:p>
          <w:p w:rsidRPr="00A75039" w:rsidR="00922690" w:rsidP="00A75039" w:rsidRDefault="00922690" w14:paraId="248B9918" w14:textId="77777777"/>
          <w:p w:rsidR="00FF5DE8" w:rsidP="00A75039" w:rsidRDefault="00A75039" w14:paraId="338F84C1" w14:textId="77777777">
            <w:r w:rsidRPr="00A75039">
              <w:rPr>
                <w:lang w:val="en-GB"/>
              </w:rPr>
              <w:t>Showroom - Ethical check, guideline conformity analysis</w:t>
            </w:r>
            <w:r w:rsidRPr="00A75039">
              <w:t> </w:t>
            </w:r>
          </w:p>
          <w:p w:rsidR="00FF5DE8" w:rsidP="00A75039" w:rsidRDefault="00FF5DE8" w14:paraId="16B92E98" w14:textId="77777777"/>
          <w:p w:rsidRPr="00A75039" w:rsidR="00A75039" w:rsidP="00A75039" w:rsidRDefault="00543AAE" w14:paraId="11AF9826" w14:textId="3DE2650A">
            <w:r>
              <w:rPr>
                <w:noProof/>
              </w:rPr>
              <w:drawing>
                <wp:inline distT="0" distB="0" distL="0" distR="0" wp14:anchorId="0BCE5F33" wp14:editId="715AA7C0">
                  <wp:extent cx="476885" cy="476885"/>
                  <wp:effectExtent l="0" t="0" r="0" b="0"/>
                  <wp:docPr id="2074208420" name="Picture 2" descr="show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howroom"/>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6885" cy="476885"/>
                          </a:xfrm>
                          <a:prstGeom prst="rect">
                            <a:avLst/>
                          </a:prstGeom>
                          <a:noFill/>
                          <a:ln>
                            <a:noFill/>
                          </a:ln>
                        </pic:spPr>
                      </pic:pic>
                    </a:graphicData>
                  </a:graphic>
                </wp:inline>
              </w:drawing>
            </w:r>
            <w:r w:rsidRPr="00A75039" w:rsidR="00A75039">
              <w:br/>
            </w:r>
            <w:r w:rsidRPr="00A75039" w:rsidR="00A75039">
              <w:t> </w:t>
            </w:r>
            <w:r w:rsidRPr="00A75039" w:rsidR="00A75039">
              <w:br/>
            </w:r>
            <w:r w:rsidRPr="00A75039" w:rsidR="00A75039">
              <w:rPr>
                <w:lang w:val="en-GB"/>
              </w:rPr>
              <w:t>Workshop - Brainstorm</w:t>
            </w:r>
            <w:r w:rsidRPr="00A75039" w:rsidR="00A75039">
              <w:t> </w:t>
            </w:r>
          </w:p>
          <w:p w:rsidR="00D95E7D" w:rsidP="00110AFC" w:rsidRDefault="00D95E7D" w14:paraId="26539BD7" w14:textId="77777777"/>
          <w:p w:rsidRPr="00110AFC" w:rsidR="00543AAE" w:rsidP="00110AFC" w:rsidRDefault="000A041D" w14:paraId="3F9E653B" w14:textId="30D3FFF1">
            <w:r>
              <w:rPr>
                <w:noProof/>
              </w:rPr>
              <w:drawing>
                <wp:inline distT="0" distB="0" distL="0" distR="0" wp14:anchorId="437E288A" wp14:editId="52DAD96D">
                  <wp:extent cx="476885" cy="476885"/>
                  <wp:effectExtent l="0" t="0" r="0" b="0"/>
                  <wp:docPr id="111252637" name="Picture 3" descr="worksh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orkshop"/>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76885" cy="476885"/>
                          </a:xfrm>
                          <a:prstGeom prst="rect">
                            <a:avLst/>
                          </a:prstGeom>
                          <a:noFill/>
                          <a:ln>
                            <a:noFill/>
                          </a:ln>
                        </pic:spPr>
                      </pic:pic>
                    </a:graphicData>
                  </a:graphic>
                </wp:inline>
              </w:drawing>
            </w:r>
          </w:p>
        </w:tc>
        <w:tc>
          <w:tcPr>
            <w:tcW w:w="5682" w:type="dxa"/>
          </w:tcPr>
          <w:p w:rsidRPr="00110AFC" w:rsidR="00D95E7D" w:rsidP="00110AFC" w:rsidRDefault="00A75039" w14:paraId="269330EE" w14:textId="7093979A">
            <w:r w:rsidRPr="00A75039">
              <w:rPr>
                <w:lang w:val="en-GB"/>
              </w:rPr>
              <w:t>Literature study will identify existing ethical principles, privacy guidelines, and frameworks for responsible data usage. Analysis of best</w:t>
            </w:r>
            <w:r>
              <w:rPr>
                <w:lang w:val="en-GB"/>
              </w:rPr>
              <w:t>,</w:t>
            </w:r>
            <w:r w:rsidRPr="00A75039">
              <w:rPr>
                <w:lang w:val="en-GB"/>
              </w:rPr>
              <w:t xml:space="preserve"> good and bad practices will provide insights into already existing usages. Ethical checks and guideline conformity analysis will test whether proposed practices align with recognised standards and expectations that our stakeholders have set. Brainstorm workshops with stakeholders will explore how these principles can be applied or adapted in the specific smart city dataspace.</w:t>
            </w:r>
            <w:r w:rsidRPr="00A75039">
              <w:t> </w:t>
            </w:r>
          </w:p>
        </w:tc>
        <w:tc>
          <w:tcPr>
            <w:tcW w:w="2261" w:type="dxa"/>
          </w:tcPr>
          <w:p w:rsidRPr="00110AFC" w:rsidR="00D95E7D" w:rsidP="007E2A4E" w:rsidRDefault="00A75039" w14:paraId="77C8E3D0" w14:textId="080D55A2">
            <w:r w:rsidRPr="00A75039">
              <w:rPr>
                <w:lang w:val="en-GB"/>
              </w:rPr>
              <w:t xml:space="preserve">The results would be verified by our </w:t>
            </w:r>
            <w:r>
              <w:rPr>
                <w:lang w:val="en-GB"/>
              </w:rPr>
              <w:t>stakeholders,</w:t>
            </w:r>
            <w:r w:rsidRPr="00A75039">
              <w:rPr>
                <w:lang w:val="en-GB"/>
              </w:rPr>
              <w:t xml:space="preserve"> where the principles and practices should align with </w:t>
            </w:r>
            <w:r>
              <w:rPr>
                <w:lang w:val="en-GB"/>
              </w:rPr>
              <w:t>those</w:t>
            </w:r>
            <w:r w:rsidRPr="00A75039">
              <w:rPr>
                <w:lang w:val="en-GB"/>
              </w:rPr>
              <w:t xml:space="preserve"> set by the </w:t>
            </w:r>
            <w:r>
              <w:rPr>
                <w:lang w:val="en-GB"/>
              </w:rPr>
              <w:t>stakeholders.</w:t>
            </w:r>
            <w:r w:rsidRPr="00A75039">
              <w:t> </w:t>
            </w:r>
          </w:p>
        </w:tc>
        <w:tc>
          <w:tcPr>
            <w:tcW w:w="1708" w:type="dxa"/>
          </w:tcPr>
          <w:p w:rsidRPr="00110AFC" w:rsidR="00D95E7D" w:rsidP="007E2A4E" w:rsidRDefault="00A75039" w14:paraId="2C22372C" w14:textId="45B00342">
            <w:r w:rsidRPr="00A75039">
              <w:rPr>
                <w:lang w:val="en-GB"/>
              </w:rPr>
              <w:t>Identification of core ethical principles, practical application examples, and evaluation criteria for responsible data usage</w:t>
            </w:r>
            <w:r w:rsidRPr="00A75039">
              <w:t> </w:t>
            </w:r>
          </w:p>
        </w:tc>
      </w:tr>
    </w:tbl>
    <w:p w:rsidRPr="00110AFC" w:rsidR="00D95E7D" w:rsidP="00D95E7D" w:rsidRDefault="00D95E7D" w14:paraId="4244BCD2" w14:textId="77777777">
      <w:pPr>
        <w:rPr>
          <w:rFonts w:ascii="Calibri" w:hAnsi="Calibri" w:cs="Calibri"/>
        </w:rPr>
      </w:pPr>
    </w:p>
    <w:p w:rsidRPr="001344F3" w:rsidR="0DCBA12F" w:rsidP="0DCBA12F" w:rsidRDefault="00922690" w14:paraId="7A364C6C" w14:textId="7F8BD99E">
      <w:pPr>
        <w:pStyle w:val="Heading2"/>
        <w:numPr>
          <w:ilvl w:val="1"/>
          <w:numId w:val="10"/>
        </w:numPr>
      </w:pPr>
      <w:bookmarkStart w:name="_Toc231982044" w:id="12"/>
      <w:r>
        <w:rPr>
          <w:rFonts w:cs="Calibri"/>
          <w:bCs/>
        </w:rPr>
        <w:t>Library</w:t>
      </w:r>
      <w:bookmarkEnd w:id="12"/>
    </w:p>
    <w:p w:rsidRPr="00D77B59" w:rsidR="00DE7E0B" w:rsidP="2C181DA8" w:rsidRDefault="2A5565CF" w14:paraId="32494EC8" w14:textId="6BE21C99">
      <w:pPr>
        <w:spacing w:before="240" w:after="240"/>
        <w:rPr>
          <w:rFonts w:eastAsia="Arial" w:cs="Arial"/>
        </w:rPr>
      </w:pPr>
      <w:r w:rsidRPr="1C2A0103">
        <w:rPr>
          <w:rFonts w:eastAsia="Arial" w:cs="Arial"/>
        </w:rPr>
        <w:t xml:space="preserve">Responsible and ethical data usage within smart city dataspaces is grounded in a set of interrelated principles that ensure data practices serve the public interest while protecting individual rights. First, </w:t>
      </w:r>
      <w:r w:rsidRPr="56AD3B3B">
        <w:rPr>
          <w:rFonts w:eastAsia="Arial" w:cs="Arial"/>
          <w:b/>
        </w:rPr>
        <w:t>citizen control</w:t>
      </w:r>
      <w:r w:rsidRPr="1C2A0103">
        <w:rPr>
          <w:rFonts w:eastAsia="Arial" w:cs="Arial"/>
        </w:rPr>
        <w:t xml:space="preserve"> and </w:t>
      </w:r>
      <w:r w:rsidRPr="37B372F4">
        <w:rPr>
          <w:rFonts w:eastAsia="Arial" w:cs="Arial"/>
          <w:b/>
        </w:rPr>
        <w:t>informed consent</w:t>
      </w:r>
      <w:r w:rsidRPr="1C2A0103">
        <w:rPr>
          <w:rFonts w:eastAsia="Arial" w:cs="Arial"/>
        </w:rPr>
        <w:t xml:space="preserve"> are fundamental, meaning individuals should retain ownership over their data and </w:t>
      </w:r>
      <w:r w:rsidRPr="15CDBFFC" w:rsidR="4F756753">
        <w:rPr>
          <w:rFonts w:eastAsia="Arial" w:cs="Arial"/>
        </w:rPr>
        <w:t>could</w:t>
      </w:r>
      <w:r w:rsidRPr="1C2A0103">
        <w:rPr>
          <w:rFonts w:eastAsia="Arial" w:cs="Arial"/>
        </w:rPr>
        <w:t xml:space="preserve"> decide how it is collected, used, and shared. This is closely linked to </w:t>
      </w:r>
      <w:r w:rsidRPr="1C2A0103">
        <w:rPr>
          <w:rFonts w:eastAsia="Arial" w:cs="Arial"/>
          <w:b/>
          <w:bCs/>
        </w:rPr>
        <w:t>privacy protection</w:t>
      </w:r>
      <w:r w:rsidRPr="1C2A0103">
        <w:rPr>
          <w:rFonts w:eastAsia="Arial" w:cs="Arial"/>
        </w:rPr>
        <w:t xml:space="preserve">, which requires that data be </w:t>
      </w:r>
      <w:r w:rsidRPr="4C1E7D88" w:rsidR="3CFEEBC1">
        <w:rPr>
          <w:rFonts w:eastAsia="Arial" w:cs="Arial"/>
        </w:rPr>
        <w:t>anonymized</w:t>
      </w:r>
      <w:r w:rsidRPr="1C2A0103">
        <w:rPr>
          <w:rFonts w:eastAsia="Arial" w:cs="Arial"/>
        </w:rPr>
        <w:t>, securely stored, and processed in ways that prevent identification or misuse.</w:t>
      </w:r>
    </w:p>
    <w:p w:rsidRPr="00D77B59" w:rsidR="00DE7E0B" w:rsidP="2C181DA8" w:rsidRDefault="2A5565CF" w14:paraId="47414887" w14:textId="4F00C1B6">
      <w:pPr>
        <w:spacing w:before="240" w:after="240"/>
        <w:rPr>
          <w:rFonts w:eastAsia="Arial" w:cs="Arial"/>
        </w:rPr>
      </w:pPr>
      <w:r w:rsidRPr="2937A84F">
        <w:rPr>
          <w:rFonts w:eastAsia="Arial" w:cs="Arial"/>
        </w:rPr>
        <w:t>Equally important is</w:t>
      </w:r>
      <w:r w:rsidRPr="2937A84F">
        <w:rPr>
          <w:rFonts w:eastAsia="Arial" w:cs="Arial"/>
          <w:b/>
          <w:bCs/>
        </w:rPr>
        <w:t xml:space="preserve"> transparency</w:t>
      </w:r>
      <w:r w:rsidRPr="2937A84F">
        <w:rPr>
          <w:rFonts w:eastAsia="Arial" w:cs="Arial"/>
        </w:rPr>
        <w:t>, where data processes and algorithmic systems are clearly communicated so that citizens understand how</w:t>
      </w:r>
      <w:r w:rsidRPr="2937A84F" w:rsidR="1F5DBAAE">
        <w:rPr>
          <w:rFonts w:eastAsia="Arial" w:cs="Arial"/>
        </w:rPr>
        <w:t xml:space="preserve"> </w:t>
      </w:r>
      <w:r w:rsidRPr="2937A84F">
        <w:rPr>
          <w:rFonts w:eastAsia="Arial" w:cs="Arial"/>
        </w:rPr>
        <w:t xml:space="preserve">decisions are made and how their data is used. To support this, </w:t>
      </w:r>
      <w:r w:rsidRPr="2937A84F">
        <w:rPr>
          <w:rFonts w:eastAsia="Arial" w:cs="Arial"/>
          <w:b/>
          <w:bCs/>
        </w:rPr>
        <w:t>accountability mechanisms</w:t>
      </w:r>
      <w:r w:rsidRPr="2937A84F">
        <w:rPr>
          <w:rFonts w:eastAsia="Arial" w:cs="Arial"/>
        </w:rPr>
        <w:t xml:space="preserve"> such as auditing and oversight must be in place to ensure that data systems operate correctly, ethically, and without unintended harm. Ethical data usage also depends on </w:t>
      </w:r>
      <w:r w:rsidRPr="2937A84F">
        <w:rPr>
          <w:rFonts w:eastAsia="Arial" w:cs="Arial"/>
          <w:b/>
          <w:bCs/>
        </w:rPr>
        <w:t>data quality</w:t>
      </w:r>
      <w:r w:rsidRPr="2937A84F">
        <w:rPr>
          <w:rFonts w:eastAsia="Arial" w:cs="Arial"/>
        </w:rPr>
        <w:t xml:space="preserve"> and</w:t>
      </w:r>
      <w:r w:rsidRPr="2937A84F">
        <w:rPr>
          <w:rFonts w:eastAsia="Arial" w:cs="Arial"/>
          <w:b/>
          <w:bCs/>
        </w:rPr>
        <w:t xml:space="preserve"> fairness</w:t>
      </w:r>
      <w:r w:rsidRPr="2937A84F">
        <w:rPr>
          <w:rFonts w:eastAsia="Arial" w:cs="Arial"/>
        </w:rPr>
        <w:t>, ensuring that datasets are accurate and representative to avoid biased or discriminatory outcomes.</w:t>
      </w:r>
    </w:p>
    <w:p w:rsidRPr="00D77B59" w:rsidR="00DE7E0B" w:rsidP="2C181DA8" w:rsidRDefault="2A5565CF" w14:paraId="332BD266" w14:textId="0D91E448">
      <w:pPr>
        <w:spacing w:before="240" w:after="240"/>
        <w:rPr>
          <w:rFonts w:eastAsia="Arial" w:cs="Arial"/>
        </w:rPr>
      </w:pPr>
      <w:r w:rsidRPr="2937A84F">
        <w:rPr>
          <w:rFonts w:eastAsia="Arial" w:cs="Arial"/>
        </w:rPr>
        <w:t>Furthermore, responsible dataspaces require</w:t>
      </w:r>
      <w:r w:rsidRPr="2937A84F">
        <w:rPr>
          <w:rFonts w:eastAsia="Arial" w:cs="Arial"/>
          <w:b/>
          <w:bCs/>
        </w:rPr>
        <w:t xml:space="preserve"> inclusive governance</w:t>
      </w:r>
      <w:r w:rsidRPr="2937A84F">
        <w:rPr>
          <w:rFonts w:eastAsia="Arial" w:cs="Arial"/>
        </w:rPr>
        <w:t xml:space="preserve"> and </w:t>
      </w:r>
      <w:r w:rsidRPr="2937A84F">
        <w:rPr>
          <w:rFonts w:eastAsia="Arial" w:cs="Arial"/>
          <w:b/>
          <w:bCs/>
        </w:rPr>
        <w:t>citizen engagement</w:t>
      </w:r>
      <w:r w:rsidRPr="2937A84F">
        <w:rPr>
          <w:rFonts w:eastAsia="Arial" w:cs="Arial"/>
        </w:rPr>
        <w:t>, where stakeholders</w:t>
      </w:r>
      <w:r w:rsidRPr="2937A84F" w:rsidR="0717C785">
        <w:rPr>
          <w:rFonts w:eastAsia="Arial" w:cs="Arial"/>
        </w:rPr>
        <w:t xml:space="preserve">, </w:t>
      </w:r>
      <w:r w:rsidRPr="2937A84F">
        <w:rPr>
          <w:rFonts w:eastAsia="Arial" w:cs="Arial"/>
        </w:rPr>
        <w:t>especially citizens</w:t>
      </w:r>
      <w:r w:rsidRPr="2937A84F" w:rsidR="224762E7">
        <w:rPr>
          <w:rFonts w:eastAsia="Arial" w:cs="Arial"/>
        </w:rPr>
        <w:t xml:space="preserve">, </w:t>
      </w:r>
      <w:r w:rsidRPr="2937A84F">
        <w:rPr>
          <w:rFonts w:eastAsia="Arial" w:cs="Arial"/>
        </w:rPr>
        <w:t xml:space="preserve">are actively involved in the design and implementation of data-driven systems. This is complemented by </w:t>
      </w:r>
      <w:r w:rsidRPr="2937A84F">
        <w:rPr>
          <w:rFonts w:eastAsia="Arial" w:cs="Arial"/>
          <w:b/>
          <w:bCs/>
        </w:rPr>
        <w:t>collaborative governance</w:t>
      </w:r>
      <w:r w:rsidRPr="2937A84F">
        <w:rPr>
          <w:rFonts w:eastAsia="Arial" w:cs="Arial"/>
        </w:rPr>
        <w:t xml:space="preserve"> structures between public and private actors, guided by clear agreements that </w:t>
      </w:r>
      <w:r w:rsidRPr="6226315C" w:rsidR="7B7F1EE7">
        <w:rPr>
          <w:rFonts w:eastAsia="Arial" w:cs="Arial"/>
        </w:rPr>
        <w:t>prioritize</w:t>
      </w:r>
      <w:r w:rsidRPr="2937A84F">
        <w:rPr>
          <w:rFonts w:eastAsia="Arial" w:cs="Arial"/>
        </w:rPr>
        <w:t xml:space="preserve"> societal value over purely commercial interests. In this context, </w:t>
      </w:r>
      <w:r w:rsidRPr="2937A84F">
        <w:rPr>
          <w:rFonts w:eastAsia="Arial" w:cs="Arial"/>
          <w:b/>
          <w:bCs/>
        </w:rPr>
        <w:t>data ownership</w:t>
      </w:r>
      <w:r w:rsidRPr="2937A84F">
        <w:rPr>
          <w:rFonts w:eastAsia="Arial" w:cs="Arial"/>
        </w:rPr>
        <w:t xml:space="preserve"> and</w:t>
      </w:r>
      <w:r w:rsidRPr="2937A84F">
        <w:rPr>
          <w:rFonts w:eastAsia="Arial" w:cs="Arial"/>
          <w:b/>
          <w:bCs/>
        </w:rPr>
        <w:t xml:space="preserve"> sovereignty</w:t>
      </w:r>
      <w:r w:rsidRPr="2937A84F">
        <w:rPr>
          <w:rFonts w:eastAsia="Arial" w:cs="Arial"/>
        </w:rPr>
        <w:t xml:space="preserve"> should ideally remain with citizens or public institutions to prevent undue control by private entities.</w:t>
      </w:r>
    </w:p>
    <w:p w:rsidR="243A822E" w:rsidP="243A822E" w:rsidRDefault="2A5565CF" w14:paraId="0C50603F" w14:textId="2F6E0828">
      <w:pPr>
        <w:spacing w:before="240" w:after="240"/>
      </w:pPr>
      <w:r w:rsidRPr="00D77B59">
        <w:rPr>
          <w:rFonts w:eastAsia="Arial" w:cs="Arial"/>
        </w:rPr>
        <w:t xml:space="preserve">Together, these principles foster </w:t>
      </w:r>
      <w:r w:rsidRPr="56364F6F">
        <w:rPr>
          <w:rFonts w:eastAsia="Arial" w:cs="Arial"/>
        </w:rPr>
        <w:t>trust</w:t>
      </w:r>
      <w:r w:rsidRPr="00D77B59">
        <w:rPr>
          <w:rFonts w:eastAsia="Arial" w:cs="Arial"/>
        </w:rPr>
        <w:t>, which is essential for the successful adoption and legitimacy of smart city dataspaces. Trust emerges when data practices consistently demonstrate respect for privacy, fairness, transparency, and public accountability, forming the ethical foundation for responsible data usage.</w:t>
      </w:r>
      <w:r w:rsidR="00DE7E0B">
        <w:br/>
      </w:r>
    </w:p>
    <w:p w:rsidRPr="001344F3" w:rsidR="00DE7E0B" w:rsidP="00DE7E0B" w:rsidRDefault="00922690" w14:paraId="7435AB03" w14:textId="01109ED9">
      <w:pPr>
        <w:pStyle w:val="Heading2"/>
        <w:numPr>
          <w:ilvl w:val="1"/>
          <w:numId w:val="10"/>
        </w:numPr>
      </w:pPr>
      <w:bookmarkStart w:name="_Toc231982045" w:id="13"/>
      <w:r>
        <w:rPr>
          <w:rFonts w:cs="Calibri"/>
          <w:bCs/>
        </w:rPr>
        <w:t>Showroom</w:t>
      </w:r>
      <w:bookmarkEnd w:id="13"/>
    </w:p>
    <w:p w:rsidR="009313D5" w:rsidP="001344F3" w:rsidRDefault="009313D5" w14:paraId="7144EB46" w14:textId="0E00A25B">
      <w:pPr>
        <w:pStyle w:val="Heading3"/>
        <w:framePr w:wrap="around"/>
      </w:pPr>
      <w:r>
        <w:t>Ethical Check</w:t>
      </w:r>
    </w:p>
    <w:p w:rsidR="001344F3" w:rsidP="00DE7E0B" w:rsidRDefault="001344F3" w14:paraId="31E22FF4" w14:textId="77777777"/>
    <w:p w:rsidR="001344F3" w:rsidP="00DE7E0B" w:rsidRDefault="001344F3" w14:paraId="06A07152" w14:textId="77777777"/>
    <w:p w:rsidR="009313D5" w:rsidP="00DE7E0B" w:rsidRDefault="00FB771E" w14:paraId="32C33018" w14:textId="0A4FE458">
      <w:r w:rsidRPr="007A0962">
        <w:t xml:space="preserve">The Inzicht Verlicht dataspace collects </w:t>
      </w:r>
      <w:r w:rsidRPr="007A0962" w:rsidR="007A0962">
        <w:t>data a</w:t>
      </w:r>
      <w:r w:rsidR="007A0962">
        <w:t xml:space="preserve">t the J.F. Kennedylaan intersection in Eindhoven. While this data is primarily environmental and mobility-related, its collection and use in a smart city context </w:t>
      </w:r>
      <w:r w:rsidR="000938AC">
        <w:t>come</w:t>
      </w:r>
      <w:r w:rsidR="008E3C94">
        <w:t xml:space="preserve"> </w:t>
      </w:r>
      <w:r w:rsidR="000938AC">
        <w:t xml:space="preserve">with several ethical dilemmas that require consideration. </w:t>
      </w:r>
    </w:p>
    <w:p w:rsidR="000938AC" w:rsidP="00DE7E0B" w:rsidRDefault="000938AC" w14:paraId="215BD0D6" w14:textId="3B7C0E11">
      <w:r>
        <w:t xml:space="preserve">The first dilemma is </w:t>
      </w:r>
      <w:r w:rsidR="005116F7">
        <w:t>re-identification risk. Although the data is not collected with the intent of identifying individuals</w:t>
      </w:r>
      <w:r w:rsidR="00C9726C">
        <w:t xml:space="preserve">, </w:t>
      </w:r>
      <w:r w:rsidR="009C17F1">
        <w:t>continuous</w:t>
      </w:r>
      <w:r w:rsidR="00C9726C">
        <w:t xml:space="preserve"> traffic monitoring data can, when combined with other datasets, be used </w:t>
      </w:r>
      <w:r w:rsidR="009C17F1">
        <w:t xml:space="preserve">to gather patterns about specific individuals or groups. </w:t>
      </w:r>
      <w:r w:rsidR="0083739E">
        <w:t xml:space="preserve">This </w:t>
      </w:r>
      <w:r w:rsidR="002A58A0">
        <w:t xml:space="preserve">creates </w:t>
      </w:r>
      <w:r w:rsidR="00254858">
        <w:t xml:space="preserve">pressure between the public value of </w:t>
      </w:r>
      <w:r w:rsidR="00927A52">
        <w:t>open</w:t>
      </w:r>
      <w:r w:rsidR="00254858">
        <w:t xml:space="preserve">, reusable data and the obligation to protect people </w:t>
      </w:r>
      <w:r w:rsidR="00927A52">
        <w:t>from</w:t>
      </w:r>
      <w:r w:rsidR="00254858">
        <w:t xml:space="preserve"> unintended surv</w:t>
      </w:r>
      <w:r w:rsidR="00927A52">
        <w:t>eillance.</w:t>
      </w:r>
      <w:r w:rsidR="004B0048">
        <w:t xml:space="preserve"> Different stakeholders will </w:t>
      </w:r>
      <w:r w:rsidR="00496692">
        <w:t>weigh this differently, as a municipality focused on mobility improvement</w:t>
      </w:r>
      <w:r w:rsidR="00AE6197">
        <w:t xml:space="preserve"> might underestimate the risk, while citizens and privacy advocates would expect better safeguards by default.</w:t>
      </w:r>
    </w:p>
    <w:p w:rsidR="005C7CFB" w:rsidP="00DE7E0B" w:rsidRDefault="005C7CFB" w14:paraId="4C19FAD0" w14:textId="1F284E66">
      <w:r>
        <w:t xml:space="preserve">The second dilemma </w:t>
      </w:r>
      <w:r w:rsidR="00B37843">
        <w:t xml:space="preserve">is the </w:t>
      </w:r>
      <w:proofErr w:type="gramStart"/>
      <w:r w:rsidRPr="00B37843" w:rsidR="00B37843">
        <w:t>asymmetry</w:t>
      </w:r>
      <w:r w:rsidR="00DA1111">
        <w:t xml:space="preserve"> </w:t>
      </w:r>
      <w:r w:rsidRPr="00B37843" w:rsidR="00B37843">
        <w:t>of</w:t>
      </w:r>
      <w:proofErr w:type="gramEnd"/>
      <w:r w:rsidRPr="00B37843" w:rsidR="00B37843">
        <w:t xml:space="preserve"> oversight</w:t>
      </w:r>
      <w:r w:rsidR="00B37843">
        <w:t xml:space="preserve">. The governance structure of the dataspace </w:t>
      </w:r>
      <w:r w:rsidR="00A234C2">
        <w:t>places responsibility on the municipality of Eindhoven as both data holder and primary beneficiary.</w:t>
      </w:r>
      <w:r w:rsidR="00F92D54">
        <w:t xml:space="preserve"> This double </w:t>
      </w:r>
      <w:r w:rsidR="006A3C7A">
        <w:t xml:space="preserve">role creates a conflict of interest as the party most </w:t>
      </w:r>
      <w:r w:rsidR="004F62B8">
        <w:t>incentivised</w:t>
      </w:r>
      <w:r w:rsidR="0090359F">
        <w:t xml:space="preserve"> to use the data is also the party responsible for </w:t>
      </w:r>
      <w:r w:rsidR="004F62B8">
        <w:t xml:space="preserve">the conditions under which it is used. From </w:t>
      </w:r>
      <w:r w:rsidR="009C5C73">
        <w:t xml:space="preserve">a civic accountability point of view, this raises questions </w:t>
      </w:r>
      <w:r w:rsidR="006E208C">
        <w:t>about who independently verifies that usage stays within the agreed boundaries.</w:t>
      </w:r>
    </w:p>
    <w:p w:rsidR="00B470BB" w:rsidP="00DE7E0B" w:rsidRDefault="00B470BB" w14:paraId="0ABDCC57" w14:textId="15F328C8">
      <w:r>
        <w:t xml:space="preserve">The third dilemma is about societal value </w:t>
      </w:r>
      <w:r w:rsidR="00E82647">
        <w:t xml:space="preserve">against mission </w:t>
      </w:r>
      <w:r w:rsidR="00F845DB">
        <w:t>creep</w:t>
      </w:r>
      <w:r w:rsidR="00E82647">
        <w:t>. Data collected for a specific purpose</w:t>
      </w:r>
      <w:r w:rsidR="00370E10">
        <w:t>,</w:t>
      </w:r>
      <w:r w:rsidR="006A73BA">
        <w:t xml:space="preserve"> such </w:t>
      </w:r>
      <w:r w:rsidR="00D643D2">
        <w:t>as monitoring traffic and air quality, could over time be repurposed for use</w:t>
      </w:r>
      <w:r w:rsidR="007C3F37">
        <w:t>s that were not part of the or</w:t>
      </w:r>
      <w:r w:rsidR="00067330">
        <w:t xml:space="preserve">iginal direction, such as </w:t>
      </w:r>
      <w:r w:rsidR="00D4345E">
        <w:t xml:space="preserve">commercial analytics. While such uses might be technically permitted </w:t>
      </w:r>
      <w:r w:rsidR="00FA4498">
        <w:t xml:space="preserve">under broad access policies, </w:t>
      </w:r>
      <w:r w:rsidR="003A3019">
        <w:t>they</w:t>
      </w:r>
      <w:r w:rsidR="00FA4498">
        <w:t xml:space="preserve"> might </w:t>
      </w:r>
      <w:r w:rsidR="00F278B4">
        <w:t xml:space="preserve">conflict with the expectations of the communities from whom the data is derived and </w:t>
      </w:r>
      <w:r w:rsidR="003A3019">
        <w:t>weaken public trust in the dataspace.</w:t>
      </w:r>
    </w:p>
    <w:p w:rsidR="00035C8A" w:rsidP="00DE7E0B" w:rsidRDefault="00035C8A" w14:paraId="7E07C33C" w14:textId="03313BF8">
      <w:r>
        <w:t xml:space="preserve">These dilemmas do not have a </w:t>
      </w:r>
      <w:r w:rsidR="002A4160">
        <w:t xml:space="preserve">straightforward resolution, but they must be acknowledged and addressed through the governance framework rather than </w:t>
      </w:r>
      <w:r w:rsidR="006D6CE2">
        <w:t xml:space="preserve">left to </w:t>
      </w:r>
      <w:r w:rsidR="00265585">
        <w:t>impromptu decisions.</w:t>
      </w:r>
    </w:p>
    <w:p w:rsidRPr="00CE1829" w:rsidR="00BD2A21" w:rsidP="001344F3" w:rsidRDefault="00370C8A" w14:paraId="4964B7A0" w14:textId="03B631B4">
      <w:pPr>
        <w:pStyle w:val="Heading3"/>
        <w:framePr w:wrap="around"/>
        <w:rPr>
          <w:lang w:val="en-US"/>
        </w:rPr>
      </w:pPr>
      <w:r w:rsidRPr="00CE1829">
        <w:rPr>
          <w:lang w:val="en-US"/>
        </w:rPr>
        <w:t>Guideline Conformity Analysis</w:t>
      </w:r>
    </w:p>
    <w:p w:rsidR="001344F3" w:rsidP="00DE7E0B" w:rsidRDefault="001344F3" w14:paraId="4BA3A7C4" w14:textId="77777777"/>
    <w:p w:rsidR="001344F3" w:rsidP="00DE7E0B" w:rsidRDefault="001344F3" w14:paraId="0D900111" w14:textId="77777777"/>
    <w:p w:rsidR="002B363D" w:rsidP="00DE7E0B" w:rsidRDefault="002B363D" w14:paraId="7D23FA7E" w14:textId="3E61E2DC">
      <w:r w:rsidRPr="00351043">
        <w:t xml:space="preserve">To evaluate whether the intended governance approach for the Inzicht </w:t>
      </w:r>
      <w:r w:rsidR="00351043">
        <w:t>V</w:t>
      </w:r>
      <w:r w:rsidRPr="00351043">
        <w:t xml:space="preserve">erlicht </w:t>
      </w:r>
      <w:r w:rsidR="00351043">
        <w:t xml:space="preserve">dataspace is in line with </w:t>
      </w:r>
      <w:r w:rsidR="00D45C6E">
        <w:t xml:space="preserve">the </w:t>
      </w:r>
      <w:r w:rsidR="003D0914">
        <w:t>standards, the following analysis checks conformity against four frameworks that are directly relevant to the project.</w:t>
      </w:r>
    </w:p>
    <w:tbl>
      <w:tblPr>
        <w:tblStyle w:val="TableGrid"/>
        <w:tblW w:w="0" w:type="auto"/>
        <w:tblLook w:val="04A0" w:firstRow="1" w:lastRow="0" w:firstColumn="1" w:lastColumn="0" w:noHBand="0" w:noVBand="1"/>
      </w:tblPr>
      <w:tblGrid>
        <w:gridCol w:w="2122"/>
        <w:gridCol w:w="3118"/>
        <w:gridCol w:w="3776"/>
      </w:tblGrid>
      <w:tr w:rsidR="00CC64BA" w:rsidTr="00E04264" w14:paraId="68FA6267" w14:textId="77777777">
        <w:tc>
          <w:tcPr>
            <w:tcW w:w="2122" w:type="dxa"/>
          </w:tcPr>
          <w:p w:rsidRPr="004E0BBC" w:rsidR="004E0BBC" w:rsidP="00DE7E0B" w:rsidRDefault="004E0BBC" w14:paraId="03B597BE" w14:textId="000DF47D">
            <w:pPr>
              <w:rPr>
                <w:b/>
                <w:bCs/>
              </w:rPr>
            </w:pPr>
            <w:r>
              <w:rPr>
                <w:b/>
                <w:bCs/>
              </w:rPr>
              <w:t>Guideline</w:t>
            </w:r>
          </w:p>
        </w:tc>
        <w:tc>
          <w:tcPr>
            <w:tcW w:w="3118" w:type="dxa"/>
          </w:tcPr>
          <w:p w:rsidRPr="004E0BBC" w:rsidR="004E0BBC" w:rsidP="00DE7E0B" w:rsidRDefault="004E0BBC" w14:paraId="688B08D9" w14:textId="3A44B8FC">
            <w:pPr>
              <w:rPr>
                <w:b/>
                <w:bCs/>
              </w:rPr>
            </w:pPr>
            <w:r>
              <w:rPr>
                <w:b/>
                <w:bCs/>
              </w:rPr>
              <w:t>Key Requirement</w:t>
            </w:r>
          </w:p>
        </w:tc>
        <w:tc>
          <w:tcPr>
            <w:tcW w:w="3776" w:type="dxa"/>
          </w:tcPr>
          <w:p w:rsidRPr="004E0BBC" w:rsidR="004E0BBC" w:rsidP="00DE7E0B" w:rsidRDefault="004E0BBC" w14:paraId="38DF48D8" w14:textId="2D9BCC74">
            <w:pPr>
              <w:rPr>
                <w:b/>
                <w:bCs/>
              </w:rPr>
            </w:pPr>
            <w:r>
              <w:rPr>
                <w:b/>
                <w:bCs/>
              </w:rPr>
              <w:t>Con</w:t>
            </w:r>
            <w:r w:rsidR="00E04264">
              <w:rPr>
                <w:b/>
                <w:bCs/>
              </w:rPr>
              <w:t>formity Assessment</w:t>
            </w:r>
          </w:p>
        </w:tc>
      </w:tr>
      <w:tr w:rsidR="00CC64BA" w:rsidTr="00E04264" w14:paraId="64744686" w14:textId="77777777">
        <w:tc>
          <w:tcPr>
            <w:tcW w:w="2122" w:type="dxa"/>
          </w:tcPr>
          <w:p w:rsidR="004E0BBC" w:rsidP="00DE7E0B" w:rsidRDefault="00E04264" w14:paraId="689E04BF" w14:textId="2F4B8F5E">
            <w:r>
              <w:t>GDPR</w:t>
            </w:r>
          </w:p>
        </w:tc>
        <w:tc>
          <w:tcPr>
            <w:tcW w:w="3118" w:type="dxa"/>
          </w:tcPr>
          <w:p w:rsidR="004E0BBC" w:rsidP="00DE7E0B" w:rsidRDefault="66C43951" w14:paraId="112912D8" w14:textId="024A2421">
            <w:r>
              <w:t xml:space="preserve">Personal data must be processed lawfully, with purpose limitation and data </w:t>
            </w:r>
            <w:r w:rsidR="00ED10A7">
              <w:t>minimisation</w:t>
            </w:r>
            <w:r>
              <w:t xml:space="preserve">. </w:t>
            </w:r>
            <w:r w:rsidR="00ED10A7">
              <w:t>Anonymised</w:t>
            </w:r>
            <w:r w:rsidR="2AAAEC56">
              <w:t xml:space="preserve"> data still requires periodic </w:t>
            </w:r>
            <w:r w:rsidR="0891CBFD">
              <w:t>re-</w:t>
            </w:r>
            <w:r w:rsidR="339C6285">
              <w:t xml:space="preserve">identification </w:t>
            </w:r>
            <w:r w:rsidR="00ED10A7">
              <w:t>for</w:t>
            </w:r>
            <w:r w:rsidR="57C20E17">
              <w:t xml:space="preserve"> </w:t>
            </w:r>
            <w:r w:rsidR="5CC5475B">
              <w:t xml:space="preserve">risk </w:t>
            </w:r>
            <w:r w:rsidR="0891CBFD">
              <w:t>assessment.</w:t>
            </w:r>
          </w:p>
        </w:tc>
        <w:tc>
          <w:tcPr>
            <w:tcW w:w="3776" w:type="dxa"/>
          </w:tcPr>
          <w:p w:rsidR="004E0BBC" w:rsidP="00DE7E0B" w:rsidRDefault="28BAD378" w14:paraId="6FC49AD1" w14:textId="4EB2A5A7">
            <w:r>
              <w:t xml:space="preserve">Partially addressed. The dataspace works with </w:t>
            </w:r>
            <w:r w:rsidR="00ED10A7">
              <w:t>anonymised</w:t>
            </w:r>
            <w:r>
              <w:t xml:space="preserve"> traffic and air quality data, but no formal re-identification assessment process has been defined. This is a gap that governance procedures must close.</w:t>
            </w:r>
          </w:p>
        </w:tc>
      </w:tr>
      <w:tr w:rsidR="00CC64BA" w:rsidTr="00E04264" w14:paraId="6EB070A6" w14:textId="77777777">
        <w:tc>
          <w:tcPr>
            <w:tcW w:w="2122" w:type="dxa"/>
          </w:tcPr>
          <w:p w:rsidR="004E0BBC" w:rsidP="00DE7E0B" w:rsidRDefault="00E04264" w14:paraId="5BC27398" w14:textId="7265D5DC">
            <w:r>
              <w:t>Data Governance Act</w:t>
            </w:r>
          </w:p>
        </w:tc>
        <w:tc>
          <w:tcPr>
            <w:tcW w:w="3118" w:type="dxa"/>
          </w:tcPr>
          <w:p w:rsidR="004E0BBC" w:rsidP="00DE7E0B" w:rsidRDefault="00067726" w14:paraId="4DD98428" w14:textId="6B582BDE">
            <w:r>
              <w:t xml:space="preserve">Public sector bodies sharing data </w:t>
            </w:r>
            <w:r w:rsidR="001D09B1">
              <w:t>must ensure neutral, transparent conditions for reuse. Data intermediaries must act without conflicts of interest.</w:t>
            </w:r>
          </w:p>
        </w:tc>
        <w:tc>
          <w:tcPr>
            <w:tcW w:w="3776" w:type="dxa"/>
          </w:tcPr>
          <w:p w:rsidR="004E0BBC" w:rsidP="00DE7E0B" w:rsidRDefault="00DD59B4" w14:paraId="2CAFC8A0" w14:textId="50FC71CC">
            <w:r>
              <w:t xml:space="preserve">Partially addressed. The municipality </w:t>
            </w:r>
            <w:r w:rsidR="00AD16D5">
              <w:t>holds</w:t>
            </w:r>
            <w:r>
              <w:t xml:space="preserve"> a dual role</w:t>
            </w:r>
            <w:r w:rsidR="00AD16D5">
              <w:t xml:space="preserve"> as data holder and primary user, which requires explicit governance safeguards to ensure neutrality and transparency in access conditions.</w:t>
            </w:r>
          </w:p>
        </w:tc>
      </w:tr>
      <w:tr w:rsidR="00CC64BA" w:rsidTr="00E04264" w14:paraId="28115C87" w14:textId="77777777">
        <w:tc>
          <w:tcPr>
            <w:tcW w:w="2122" w:type="dxa"/>
          </w:tcPr>
          <w:p w:rsidR="004E0BBC" w:rsidP="00DE7E0B" w:rsidRDefault="00E04264" w14:paraId="01DE77EF" w14:textId="1D52E74F">
            <w:r>
              <w:t>ALTAI</w:t>
            </w:r>
          </w:p>
        </w:tc>
        <w:tc>
          <w:tcPr>
            <w:tcW w:w="3118" w:type="dxa"/>
          </w:tcPr>
          <w:p w:rsidR="004E0BBC" w:rsidP="00DE7E0B" w:rsidRDefault="002505C9" w14:paraId="4EABC764" w14:textId="1043F753">
            <w:r>
              <w:t>AI</w:t>
            </w:r>
            <w:r w:rsidR="00F37EBF">
              <w:t xml:space="preserve"> and data-driven systems must be assessed for fundamental rights impact, transparency, accountability, and human oversight.</w:t>
            </w:r>
          </w:p>
        </w:tc>
        <w:tc>
          <w:tcPr>
            <w:tcW w:w="3776" w:type="dxa"/>
          </w:tcPr>
          <w:p w:rsidR="004E0BBC" w:rsidP="00DE7E0B" w:rsidRDefault="006220D8" w14:paraId="2F0D30AE" w14:textId="0ED46B5F">
            <w:r>
              <w:t xml:space="preserve">Not yet addressed. No formal ethics </w:t>
            </w:r>
            <w:r w:rsidR="00A12C18">
              <w:t>or impact assessment has been made for the dataspace at the governance level. The blueprint</w:t>
            </w:r>
            <w:r w:rsidR="00510F97">
              <w:t xml:space="preserve"> recommends ALTAI as a baseline tool, and this should be implemented as part of the data governance framework.</w:t>
            </w:r>
          </w:p>
        </w:tc>
      </w:tr>
      <w:tr w:rsidR="00CC64BA" w:rsidTr="00E04264" w14:paraId="04AB9DBB" w14:textId="77777777">
        <w:tc>
          <w:tcPr>
            <w:tcW w:w="2122" w:type="dxa"/>
          </w:tcPr>
          <w:p w:rsidR="004E0BBC" w:rsidP="00DE7E0B" w:rsidRDefault="00E04264" w14:paraId="3D176E4D" w14:textId="5CF187DF">
            <w:r>
              <w:t>Principlism</w:t>
            </w:r>
          </w:p>
        </w:tc>
        <w:tc>
          <w:tcPr>
            <w:tcW w:w="3118" w:type="dxa"/>
          </w:tcPr>
          <w:p w:rsidR="004E0BBC" w:rsidP="00DE7E0B" w:rsidRDefault="00010ED5" w14:paraId="46EF4FD9" w14:textId="0CFADADA">
            <w:r>
              <w:t>Data usage should respect people’s rights, avoid harm, create benefit, and be accountable.</w:t>
            </w:r>
          </w:p>
        </w:tc>
        <w:tc>
          <w:tcPr>
            <w:tcW w:w="3776" w:type="dxa"/>
          </w:tcPr>
          <w:p w:rsidR="004E0BBC" w:rsidP="00DE7E0B" w:rsidRDefault="00010ED5" w14:paraId="65D7036F" w14:textId="202711B4">
            <w:r>
              <w:t xml:space="preserve">Partially addressed. The project’s </w:t>
            </w:r>
            <w:r w:rsidR="00F5540F">
              <w:t>focus on public value covers the “create benefit” side well</w:t>
            </w:r>
            <w:r w:rsidR="00901AC0">
              <w:t>. Still, there</w:t>
            </w:r>
            <w:r w:rsidR="00F5540F">
              <w:t xml:space="preserve"> are no concrete </w:t>
            </w:r>
            <w:r w:rsidR="00C20E47">
              <w:t>mechanis</w:t>
            </w:r>
            <w:r w:rsidR="00901AC0">
              <w:t>ms for informing citizens about how their data is used or for enforcing boundaries when uses go too far.</w:t>
            </w:r>
          </w:p>
        </w:tc>
      </w:tr>
    </w:tbl>
    <w:p w:rsidRPr="00351043" w:rsidR="0033477D" w:rsidP="00DE7E0B" w:rsidRDefault="0033477D" w14:paraId="538F6D75" w14:textId="77777777"/>
    <w:p w:rsidR="00370C8A" w:rsidP="00DE7E0B" w:rsidRDefault="00AB7DEF" w14:paraId="58CEBA82" w14:textId="1393728E">
      <w:r>
        <w:t>The analysis shows that the dataspace is not starting from zero</w:t>
      </w:r>
      <w:r w:rsidR="007D27BD">
        <w:t xml:space="preserve">, as the public interest orientation and </w:t>
      </w:r>
      <w:r w:rsidR="00582CB2">
        <w:t>anonymisation</w:t>
      </w:r>
      <w:r w:rsidR="007D27BD">
        <w:t xml:space="preserve"> of data work as an ethical baseline. However, the </w:t>
      </w:r>
      <w:r w:rsidR="007F5E7A">
        <w:t xml:space="preserve">gaps are consistent with re-identification risk assessment, independent oversight </w:t>
      </w:r>
      <w:r w:rsidR="007F5E7A">
        <w:t>of the municipalit</w:t>
      </w:r>
      <w:r w:rsidR="002F09C0">
        <w:t xml:space="preserve">y’s dual role, formal ethics review, and explicit accountability mechanisms missing from the current </w:t>
      </w:r>
      <w:r w:rsidR="00582CB2">
        <w:t xml:space="preserve">situation. These gaps directly influence the governance recommendations that </w:t>
      </w:r>
      <w:r w:rsidR="00A52065">
        <w:t>will be made in other parts of this report.</w:t>
      </w:r>
    </w:p>
    <w:p w:rsidRPr="00370C8A" w:rsidR="00E3060F" w:rsidP="00DE7E0B" w:rsidRDefault="00E3060F" w14:paraId="360435FC" w14:textId="77777777"/>
    <w:p w:rsidRPr="001344F3" w:rsidR="00E3060F" w:rsidP="007A7E3B" w:rsidRDefault="00DE7E0B" w14:paraId="28A77E66" w14:textId="015EA5AE">
      <w:pPr>
        <w:pStyle w:val="Heading2"/>
        <w:numPr>
          <w:ilvl w:val="1"/>
          <w:numId w:val="10"/>
        </w:numPr>
        <w:rPr>
          <w:rFonts w:eastAsia="Arial" w:cs="Arial"/>
          <w:lang w:val="en-GB"/>
        </w:rPr>
      </w:pPr>
      <w:bookmarkStart w:name="_Toc231982046" w:id="14"/>
      <w:r w:rsidRPr="00A75039">
        <w:rPr>
          <w:rFonts w:cs="Calibri"/>
          <w:lang w:val="en-GB"/>
        </w:rPr>
        <w:t>Workshop</w:t>
      </w:r>
      <w:bookmarkEnd w:id="14"/>
    </w:p>
    <w:p w:rsidR="004D6686" w:rsidP="007A7E3B" w:rsidRDefault="007A7E3B" w14:paraId="53073873" w14:textId="27084D31">
      <w:pPr>
        <w:rPr>
          <w:rFonts w:eastAsia="Arial" w:cs="Arial"/>
          <w:lang w:val="en-GB"/>
        </w:rPr>
      </w:pPr>
      <w:r>
        <w:t>In a meeting with Am</w:t>
      </w:r>
      <w:r w:rsidRPr="00706268" w:rsidR="00706268">
        <w:t>á</w:t>
      </w:r>
      <w:r w:rsidR="00FF1897">
        <w:t xml:space="preserve">lia </w:t>
      </w:r>
      <w:r w:rsidRPr="00706268" w:rsidR="00706268">
        <w:t>Oliveira De Arruda Camara</w:t>
      </w:r>
      <w:r w:rsidR="00E3060F">
        <w:t xml:space="preserve">, we found out what </w:t>
      </w:r>
      <w:r w:rsidRPr="2937A84F" w:rsidR="00E3060F">
        <w:rPr>
          <w:rFonts w:eastAsia="Arial" w:cs="Arial"/>
          <w:lang w:val="en-GB"/>
        </w:rPr>
        <w:t xml:space="preserve">ethical </w:t>
      </w:r>
      <w:r w:rsidR="00025B0C">
        <w:rPr>
          <w:rFonts w:eastAsia="Arial" w:cs="Arial"/>
          <w:lang w:val="en-GB"/>
        </w:rPr>
        <w:t xml:space="preserve">dimensions and </w:t>
      </w:r>
      <w:r w:rsidRPr="2937A84F" w:rsidR="00E3060F">
        <w:rPr>
          <w:rFonts w:eastAsia="Arial" w:cs="Arial"/>
          <w:lang w:val="en-GB"/>
        </w:rPr>
        <w:t xml:space="preserve">principles </w:t>
      </w:r>
      <w:r w:rsidRPr="615AB3E9" w:rsidR="00E3060F">
        <w:rPr>
          <w:rFonts w:eastAsia="Arial" w:cs="Arial"/>
          <w:lang w:val="en-GB"/>
        </w:rPr>
        <w:t xml:space="preserve">should </w:t>
      </w:r>
      <w:r w:rsidRPr="74F97C71" w:rsidR="00E3060F">
        <w:rPr>
          <w:rFonts w:eastAsia="Arial" w:cs="Arial"/>
          <w:lang w:val="en-GB"/>
        </w:rPr>
        <w:t>be</w:t>
      </w:r>
      <w:r w:rsidRPr="615AB3E9" w:rsidR="00E3060F">
        <w:rPr>
          <w:rFonts w:eastAsia="Arial" w:cs="Arial"/>
          <w:lang w:val="en-GB"/>
        </w:rPr>
        <w:t xml:space="preserve"> </w:t>
      </w:r>
      <w:r w:rsidRPr="0CB1175D" w:rsidR="00E3060F">
        <w:rPr>
          <w:rFonts w:eastAsia="Arial" w:cs="Arial"/>
          <w:lang w:val="en-GB"/>
        </w:rPr>
        <w:t xml:space="preserve">included in </w:t>
      </w:r>
      <w:r w:rsidRPr="2937A84F" w:rsidR="00E3060F">
        <w:rPr>
          <w:rFonts w:eastAsia="Arial" w:cs="Arial"/>
          <w:lang w:val="en-GB"/>
        </w:rPr>
        <w:t>this dataspace</w:t>
      </w:r>
      <w:r w:rsidR="008C0BE2">
        <w:rPr>
          <w:rFonts w:eastAsia="Arial" w:cs="Arial"/>
          <w:lang w:val="en-GB"/>
        </w:rPr>
        <w:t>, which are:</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508"/>
        <w:gridCol w:w="4508"/>
      </w:tblGrid>
      <w:tr w:rsidR="009A3A85" w:rsidTr="0059534E" w14:paraId="49216B8C" w14:textId="77777777">
        <w:tc>
          <w:tcPr>
            <w:tcW w:w="4508" w:type="dxa"/>
            <w:tcBorders>
              <w:top w:val="single" w:color="auto" w:sz="4" w:space="0"/>
              <w:left w:val="single" w:color="auto" w:sz="4" w:space="0"/>
              <w:bottom w:val="single" w:color="auto" w:sz="4" w:space="0"/>
              <w:right w:val="single" w:color="auto" w:sz="4" w:space="0"/>
            </w:tcBorders>
            <w:shd w:val="clear" w:color="auto" w:fill="D9F2D0" w:themeFill="accent6" w:themeFillTint="33"/>
          </w:tcPr>
          <w:p w:rsidRPr="000C6D5B" w:rsidR="00613835" w:rsidP="000C6D5B" w:rsidRDefault="000C6D5B" w14:paraId="46F72CDB" w14:textId="3DD3CB40">
            <w:pPr>
              <w:jc w:val="center"/>
              <w:rPr>
                <w:rFonts w:eastAsia="Arial" w:cs="Arial"/>
                <w:b/>
                <w:bCs/>
              </w:rPr>
            </w:pPr>
            <w:r w:rsidRPr="000C6D5B">
              <w:rPr>
                <w:rFonts w:eastAsia="Arial" w:cs="Arial"/>
                <w:b/>
                <w:bCs/>
              </w:rPr>
              <w:t>Ethical Dimensions</w:t>
            </w:r>
          </w:p>
        </w:tc>
        <w:tc>
          <w:tcPr>
            <w:tcW w:w="4508" w:type="dxa"/>
            <w:tcBorders>
              <w:top w:val="single" w:color="auto" w:sz="4" w:space="0"/>
              <w:left w:val="single" w:color="auto" w:sz="4" w:space="0"/>
              <w:bottom w:val="single" w:color="auto" w:sz="4" w:space="0"/>
              <w:right w:val="single" w:color="auto" w:sz="4" w:space="0"/>
            </w:tcBorders>
            <w:shd w:val="clear" w:color="auto" w:fill="D9F2D0" w:themeFill="accent6" w:themeFillTint="33"/>
          </w:tcPr>
          <w:p w:rsidRPr="000C6D5B" w:rsidR="00613835" w:rsidP="000C6D5B" w:rsidRDefault="000C6D5B" w14:paraId="1380A407" w14:textId="405B0C5D">
            <w:pPr>
              <w:jc w:val="center"/>
              <w:rPr>
                <w:rFonts w:eastAsia="Arial" w:cs="Arial"/>
                <w:b/>
                <w:bCs/>
              </w:rPr>
            </w:pPr>
            <w:r>
              <w:rPr>
                <w:rFonts w:eastAsia="Arial" w:cs="Arial"/>
                <w:b/>
                <w:bCs/>
              </w:rPr>
              <w:t>Principles</w:t>
            </w:r>
          </w:p>
        </w:tc>
      </w:tr>
      <w:tr w:rsidR="00753DA6" w:rsidTr="00F674F2" w14:paraId="5531275E" w14:textId="77777777">
        <w:tc>
          <w:tcPr>
            <w:tcW w:w="4508" w:type="dxa"/>
            <w:tcBorders>
              <w:top w:val="single" w:color="auto" w:sz="4" w:space="0"/>
              <w:left w:val="single" w:color="auto" w:sz="4" w:space="0"/>
              <w:right w:val="single" w:color="auto" w:sz="4" w:space="0"/>
            </w:tcBorders>
          </w:tcPr>
          <w:p w:rsidR="00BF3225" w:rsidP="008C0BE2" w:rsidRDefault="00BF3225" w14:paraId="2227ACE2" w14:textId="606795D1">
            <w:pPr>
              <w:rPr>
                <w:rFonts w:eastAsia="Arial" w:cs="Arial"/>
              </w:rPr>
            </w:pPr>
            <w:r>
              <w:rPr>
                <w:rFonts w:eastAsia="Arial" w:cs="Arial"/>
              </w:rPr>
              <w:t>- Privacy</w:t>
            </w:r>
          </w:p>
        </w:tc>
        <w:tc>
          <w:tcPr>
            <w:tcW w:w="4508" w:type="dxa"/>
            <w:tcBorders>
              <w:top w:val="single" w:color="auto" w:sz="4" w:space="0"/>
              <w:left w:val="single" w:color="auto" w:sz="4" w:space="0"/>
              <w:right w:val="single" w:color="auto" w:sz="4" w:space="0"/>
            </w:tcBorders>
          </w:tcPr>
          <w:p w:rsidR="00613835" w:rsidP="0059534E" w:rsidRDefault="00292126" w14:paraId="67201777" w14:textId="15F34F6E">
            <w:pPr>
              <w:rPr>
                <w:rFonts w:eastAsia="Arial" w:cs="Arial"/>
              </w:rPr>
            </w:pPr>
            <w:r>
              <w:rPr>
                <w:rFonts w:eastAsia="Arial" w:cs="Arial"/>
              </w:rPr>
              <w:t xml:space="preserve">- </w:t>
            </w:r>
            <w:r w:rsidR="00E91257">
              <w:rPr>
                <w:rFonts w:eastAsia="Arial" w:cs="Arial"/>
              </w:rPr>
              <w:t>Ought before can</w:t>
            </w:r>
          </w:p>
        </w:tc>
      </w:tr>
      <w:tr w:rsidR="00753DA6" w:rsidTr="00F674F2" w14:paraId="7E64FD3B" w14:textId="77777777">
        <w:tc>
          <w:tcPr>
            <w:tcW w:w="4508" w:type="dxa"/>
            <w:tcBorders>
              <w:left w:val="single" w:color="auto" w:sz="4" w:space="0"/>
              <w:right w:val="single" w:color="auto" w:sz="4" w:space="0"/>
            </w:tcBorders>
          </w:tcPr>
          <w:p w:rsidR="00613835" w:rsidP="008C0BE2" w:rsidRDefault="00BF3225" w14:paraId="59C013A5" w14:textId="567DF12C">
            <w:pPr>
              <w:rPr>
                <w:rFonts w:eastAsia="Arial" w:cs="Arial"/>
              </w:rPr>
            </w:pPr>
            <w:r>
              <w:rPr>
                <w:rFonts w:eastAsia="Arial" w:cs="Arial"/>
              </w:rPr>
              <w:t>- Equity</w:t>
            </w:r>
          </w:p>
        </w:tc>
        <w:tc>
          <w:tcPr>
            <w:tcW w:w="4508" w:type="dxa"/>
            <w:tcBorders>
              <w:left w:val="single" w:color="auto" w:sz="4" w:space="0"/>
              <w:right w:val="single" w:color="auto" w:sz="4" w:space="0"/>
            </w:tcBorders>
          </w:tcPr>
          <w:p w:rsidR="00613835" w:rsidP="0059534E" w:rsidRDefault="00292126" w14:paraId="38BE7A42" w14:textId="1A04BDBB">
            <w:pPr>
              <w:rPr>
                <w:rFonts w:eastAsia="Arial" w:cs="Arial"/>
              </w:rPr>
            </w:pPr>
            <w:r>
              <w:rPr>
                <w:rFonts w:eastAsia="Arial" w:cs="Arial"/>
              </w:rPr>
              <w:t xml:space="preserve">- </w:t>
            </w:r>
            <w:r w:rsidR="00E91257">
              <w:rPr>
                <w:rFonts w:eastAsia="Arial" w:cs="Arial"/>
              </w:rPr>
              <w:t>Non-</w:t>
            </w:r>
            <w:r>
              <w:rPr>
                <w:rFonts w:eastAsia="Arial" w:cs="Arial"/>
              </w:rPr>
              <w:t>instrumentalism</w:t>
            </w:r>
          </w:p>
        </w:tc>
      </w:tr>
      <w:tr w:rsidR="00753DA6" w:rsidTr="00F674F2" w14:paraId="65DCE023" w14:textId="77777777">
        <w:tc>
          <w:tcPr>
            <w:tcW w:w="4508" w:type="dxa"/>
            <w:tcBorders>
              <w:left w:val="single" w:color="auto" w:sz="4" w:space="0"/>
              <w:right w:val="single" w:color="auto" w:sz="4" w:space="0"/>
            </w:tcBorders>
          </w:tcPr>
          <w:p w:rsidR="00613835" w:rsidP="008C0BE2" w:rsidRDefault="00BF3225" w14:paraId="0353B6AD" w14:textId="257E257B">
            <w:pPr>
              <w:rPr>
                <w:rFonts w:eastAsia="Arial" w:cs="Arial"/>
              </w:rPr>
            </w:pPr>
            <w:r>
              <w:rPr>
                <w:rFonts w:eastAsia="Arial" w:cs="Arial"/>
              </w:rPr>
              <w:t>- Trust</w:t>
            </w:r>
          </w:p>
        </w:tc>
        <w:tc>
          <w:tcPr>
            <w:tcW w:w="4508" w:type="dxa"/>
            <w:tcBorders>
              <w:left w:val="single" w:color="auto" w:sz="4" w:space="0"/>
              <w:right w:val="single" w:color="auto" w:sz="4" w:space="0"/>
            </w:tcBorders>
          </w:tcPr>
          <w:p w:rsidR="00613835" w:rsidP="0059534E" w:rsidRDefault="00292126" w14:paraId="3D93B03D" w14:textId="75B5FB45">
            <w:pPr>
              <w:rPr>
                <w:rFonts w:eastAsia="Arial" w:cs="Arial"/>
              </w:rPr>
            </w:pPr>
            <w:r>
              <w:rPr>
                <w:rFonts w:eastAsia="Arial" w:cs="Arial"/>
              </w:rPr>
              <w:t>- Self-determination</w:t>
            </w:r>
          </w:p>
        </w:tc>
      </w:tr>
      <w:tr w:rsidR="00753DA6" w:rsidTr="00F674F2" w14:paraId="73B8E885" w14:textId="77777777">
        <w:tc>
          <w:tcPr>
            <w:tcW w:w="4508" w:type="dxa"/>
            <w:tcBorders>
              <w:left w:val="single" w:color="auto" w:sz="4" w:space="0"/>
              <w:right w:val="single" w:color="auto" w:sz="4" w:space="0"/>
            </w:tcBorders>
          </w:tcPr>
          <w:p w:rsidR="00613835" w:rsidP="008C0BE2" w:rsidRDefault="00BF3225" w14:paraId="658F9699" w14:textId="6B07C651">
            <w:pPr>
              <w:rPr>
                <w:rFonts w:eastAsia="Arial" w:cs="Arial"/>
              </w:rPr>
            </w:pPr>
            <w:r>
              <w:rPr>
                <w:rFonts w:eastAsia="Arial" w:cs="Arial"/>
              </w:rPr>
              <w:t>- Governance</w:t>
            </w:r>
          </w:p>
        </w:tc>
        <w:tc>
          <w:tcPr>
            <w:tcW w:w="4508" w:type="dxa"/>
            <w:tcBorders>
              <w:left w:val="single" w:color="auto" w:sz="4" w:space="0"/>
              <w:right w:val="single" w:color="auto" w:sz="4" w:space="0"/>
            </w:tcBorders>
          </w:tcPr>
          <w:p w:rsidR="00613835" w:rsidP="0059534E" w:rsidRDefault="00292126" w14:paraId="50915D66" w14:textId="72319377">
            <w:pPr>
              <w:rPr>
                <w:rFonts w:eastAsia="Arial" w:cs="Arial"/>
              </w:rPr>
            </w:pPr>
            <w:r>
              <w:rPr>
                <w:rFonts w:eastAsia="Arial" w:cs="Arial"/>
              </w:rPr>
              <w:t>- Responsibility</w:t>
            </w:r>
          </w:p>
        </w:tc>
      </w:tr>
      <w:tr w:rsidR="00753DA6" w:rsidTr="00F674F2" w14:paraId="42A73E96" w14:textId="77777777">
        <w:tc>
          <w:tcPr>
            <w:tcW w:w="4508" w:type="dxa"/>
            <w:tcBorders>
              <w:left w:val="single" w:color="auto" w:sz="4" w:space="0"/>
              <w:right w:val="single" w:color="auto" w:sz="4" w:space="0"/>
            </w:tcBorders>
          </w:tcPr>
          <w:p w:rsidR="00613835" w:rsidP="008C0BE2" w:rsidRDefault="00BF3225" w14:paraId="07D75397" w14:textId="69DF6159">
            <w:pPr>
              <w:rPr>
                <w:rFonts w:eastAsia="Arial" w:cs="Arial"/>
              </w:rPr>
            </w:pPr>
            <w:r>
              <w:rPr>
                <w:rFonts w:eastAsia="Arial" w:cs="Arial"/>
              </w:rPr>
              <w:t xml:space="preserve">- </w:t>
            </w:r>
            <w:r w:rsidR="001A0913">
              <w:rPr>
                <w:rFonts w:eastAsia="Arial" w:cs="Arial"/>
              </w:rPr>
              <w:t>Human-centered design</w:t>
            </w:r>
          </w:p>
        </w:tc>
        <w:tc>
          <w:tcPr>
            <w:tcW w:w="4508" w:type="dxa"/>
            <w:tcBorders>
              <w:left w:val="single" w:color="auto" w:sz="4" w:space="0"/>
              <w:right w:val="single" w:color="auto" w:sz="4" w:space="0"/>
            </w:tcBorders>
          </w:tcPr>
          <w:p w:rsidR="00613835" w:rsidP="0059534E" w:rsidRDefault="00292126" w14:paraId="6AAE7ABB" w14:textId="78E95A11">
            <w:pPr>
              <w:rPr>
                <w:rFonts w:eastAsia="Arial" w:cs="Arial"/>
              </w:rPr>
            </w:pPr>
            <w:r>
              <w:rPr>
                <w:rFonts w:eastAsia="Arial" w:cs="Arial"/>
              </w:rPr>
              <w:t>- Net benefit</w:t>
            </w:r>
          </w:p>
        </w:tc>
      </w:tr>
      <w:tr w:rsidR="00753DA6" w:rsidTr="00F674F2" w14:paraId="7CCCB45F" w14:textId="77777777">
        <w:tc>
          <w:tcPr>
            <w:tcW w:w="4508" w:type="dxa"/>
            <w:tcBorders>
              <w:left w:val="single" w:color="auto" w:sz="4" w:space="0"/>
              <w:right w:val="single" w:color="auto" w:sz="4" w:space="0"/>
            </w:tcBorders>
          </w:tcPr>
          <w:p w:rsidR="009A7AC0" w:rsidP="008C0BE2" w:rsidRDefault="009A7AC0" w14:paraId="09FB0DA9" w14:textId="77777777">
            <w:pPr>
              <w:rPr>
                <w:rFonts w:eastAsia="Arial" w:cs="Arial"/>
              </w:rPr>
            </w:pPr>
          </w:p>
        </w:tc>
        <w:tc>
          <w:tcPr>
            <w:tcW w:w="4508" w:type="dxa"/>
            <w:tcBorders>
              <w:left w:val="single" w:color="auto" w:sz="4" w:space="0"/>
              <w:right w:val="single" w:color="auto" w:sz="4" w:space="0"/>
            </w:tcBorders>
          </w:tcPr>
          <w:p w:rsidR="009A7AC0" w:rsidP="0059534E" w:rsidRDefault="009A7AC0" w14:paraId="7F47B3E1" w14:textId="633B0BE2">
            <w:pPr>
              <w:rPr>
                <w:rFonts w:eastAsia="Arial" w:cs="Arial"/>
              </w:rPr>
            </w:pPr>
            <w:r>
              <w:rPr>
                <w:rFonts w:eastAsia="Arial" w:cs="Arial"/>
              </w:rPr>
              <w:t>- Fairness</w:t>
            </w:r>
          </w:p>
        </w:tc>
      </w:tr>
      <w:tr w:rsidR="00753DA6" w:rsidTr="00F674F2" w14:paraId="7383C55E" w14:textId="77777777">
        <w:tc>
          <w:tcPr>
            <w:tcW w:w="4508" w:type="dxa"/>
            <w:tcBorders>
              <w:left w:val="single" w:color="auto" w:sz="4" w:space="0"/>
              <w:right w:val="single" w:color="auto" w:sz="4" w:space="0"/>
            </w:tcBorders>
          </w:tcPr>
          <w:p w:rsidR="009A7AC0" w:rsidP="008C0BE2" w:rsidRDefault="009A7AC0" w14:paraId="5430A79B" w14:textId="77777777">
            <w:pPr>
              <w:rPr>
                <w:rFonts w:eastAsia="Arial" w:cs="Arial"/>
              </w:rPr>
            </w:pPr>
          </w:p>
        </w:tc>
        <w:tc>
          <w:tcPr>
            <w:tcW w:w="4508" w:type="dxa"/>
            <w:tcBorders>
              <w:left w:val="single" w:color="auto" w:sz="4" w:space="0"/>
              <w:right w:val="single" w:color="auto" w:sz="4" w:space="0"/>
            </w:tcBorders>
          </w:tcPr>
          <w:p w:rsidR="009A7AC0" w:rsidP="0059534E" w:rsidRDefault="009A7AC0" w14:paraId="699AD254" w14:textId="7AB3F302">
            <w:pPr>
              <w:rPr>
                <w:rFonts w:eastAsia="Arial" w:cs="Arial"/>
              </w:rPr>
            </w:pPr>
            <w:r>
              <w:rPr>
                <w:rFonts w:eastAsia="Arial" w:cs="Arial"/>
              </w:rPr>
              <w:t>- Accessibility</w:t>
            </w:r>
          </w:p>
        </w:tc>
      </w:tr>
      <w:tr w:rsidR="00753DA6" w:rsidTr="00F674F2" w14:paraId="432CE50E" w14:textId="77777777">
        <w:tc>
          <w:tcPr>
            <w:tcW w:w="4508" w:type="dxa"/>
            <w:tcBorders>
              <w:left w:val="single" w:color="auto" w:sz="4" w:space="0"/>
              <w:bottom w:val="single" w:color="auto" w:sz="4" w:space="0"/>
              <w:right w:val="single" w:color="auto" w:sz="4" w:space="0"/>
            </w:tcBorders>
          </w:tcPr>
          <w:p w:rsidR="009A7AC0" w:rsidP="008C0BE2" w:rsidRDefault="009A7AC0" w14:paraId="213793B9" w14:textId="77777777">
            <w:pPr>
              <w:rPr>
                <w:rFonts w:eastAsia="Arial" w:cs="Arial"/>
              </w:rPr>
            </w:pPr>
          </w:p>
        </w:tc>
        <w:tc>
          <w:tcPr>
            <w:tcW w:w="4508" w:type="dxa"/>
            <w:tcBorders>
              <w:left w:val="single" w:color="auto" w:sz="4" w:space="0"/>
              <w:bottom w:val="single" w:color="auto" w:sz="4" w:space="0"/>
              <w:right w:val="single" w:color="auto" w:sz="4" w:space="0"/>
            </w:tcBorders>
          </w:tcPr>
          <w:p w:rsidR="009A7AC0" w:rsidP="0059534E" w:rsidRDefault="009A7AC0" w14:paraId="6C2ADB53" w14:textId="40F76877">
            <w:pPr>
              <w:rPr>
                <w:rFonts w:eastAsia="Arial" w:cs="Arial"/>
              </w:rPr>
            </w:pPr>
            <w:r>
              <w:rPr>
                <w:rFonts w:eastAsia="Arial" w:cs="Arial"/>
              </w:rPr>
              <w:t>- Purpose</w:t>
            </w:r>
          </w:p>
        </w:tc>
      </w:tr>
    </w:tbl>
    <w:p w:rsidR="002A05E8" w:rsidP="007A7E3B" w:rsidRDefault="002A05E8" w14:paraId="40BBA51D" w14:textId="77777777">
      <w:pPr>
        <w:rPr>
          <w:rFonts w:eastAsia="Arial" w:cs="Arial"/>
          <w:lang w:val="en-GB"/>
        </w:rPr>
      </w:pPr>
    </w:p>
    <w:p w:rsidR="008A536E" w:rsidP="007A7E3B" w:rsidRDefault="00BE7C15" w14:paraId="1FCC260E" w14:textId="0FA8CA97">
      <w:pPr>
        <w:rPr>
          <w:rFonts w:eastAsia="Arial" w:cs="Arial"/>
          <w:lang w:val="en-GB"/>
        </w:rPr>
      </w:pPr>
      <w:r>
        <w:rPr>
          <w:rFonts w:eastAsia="Arial" w:cs="Arial"/>
          <w:lang w:val="en-GB"/>
        </w:rPr>
        <w:t>These dimensions and principles</w:t>
      </w:r>
      <w:r w:rsidR="008A536E">
        <w:rPr>
          <w:rFonts w:eastAsia="Arial" w:cs="Arial"/>
          <w:lang w:val="en-GB"/>
        </w:rPr>
        <w:t xml:space="preserve"> are useful, but</w:t>
      </w:r>
      <w:r>
        <w:rPr>
          <w:rFonts w:eastAsia="Arial" w:cs="Arial"/>
          <w:lang w:val="en-GB"/>
        </w:rPr>
        <w:t xml:space="preserve"> </w:t>
      </w:r>
      <w:r w:rsidRPr="003A3801" w:rsidR="003A3801">
        <w:rPr>
          <w:rFonts w:eastAsia="Arial" w:cs="Arial"/>
        </w:rPr>
        <w:t>only when they are translated into concrete rules</w:t>
      </w:r>
      <w:r w:rsidR="00DE68B5">
        <w:rPr>
          <w:rFonts w:eastAsia="Arial" w:cs="Arial"/>
        </w:rPr>
        <w:t xml:space="preserve"> which would shape how </w:t>
      </w:r>
      <w:r w:rsidR="004D6686">
        <w:rPr>
          <w:rFonts w:eastAsia="Arial" w:cs="Arial"/>
        </w:rPr>
        <w:t>the shared dataspace would be used.</w:t>
      </w:r>
    </w:p>
    <w:p w:rsidRPr="003A4496" w:rsidR="27E52476" w:rsidP="003A4496" w:rsidRDefault="003A4496" w14:paraId="482066E7" w14:textId="2F1565B3">
      <w:pPr>
        <w:pStyle w:val="Heading3"/>
        <w:framePr w:wrap="around"/>
        <w:rPr>
          <w:lang w:val="en-US"/>
        </w:rPr>
      </w:pPr>
      <w:bookmarkStart w:name="_Toc231982047" w:id="15"/>
      <w:r w:rsidRPr="003A4496">
        <w:rPr>
          <w:lang w:val="en-US"/>
        </w:rPr>
        <w:t xml:space="preserve">3.3.1 </w:t>
      </w:r>
      <w:r w:rsidRPr="003A4496" w:rsidR="00E147DA">
        <w:rPr>
          <w:lang w:val="en-US"/>
        </w:rPr>
        <w:t>Privacy</w:t>
      </w:r>
      <w:bookmarkEnd w:id="15"/>
    </w:p>
    <w:p w:rsidR="00432558" w:rsidP="0045009C" w:rsidRDefault="003A4496" w14:paraId="466E9C30" w14:textId="77777777">
      <w:pPr>
        <w:rPr>
          <w:rFonts w:eastAsia="Arial" w:cs="Arial"/>
          <w:lang w:val="en-GB"/>
        </w:rPr>
      </w:pPr>
      <w:r>
        <w:rPr>
          <w:rFonts w:eastAsia="Arial" w:cs="Arial"/>
          <w:lang w:val="en-GB"/>
        </w:rPr>
        <w:br/>
      </w:r>
    </w:p>
    <w:p w:rsidRPr="004F35E0" w:rsidR="0045009C" w:rsidP="0045009C" w:rsidRDefault="008A7AC4" w14:paraId="3EE7380C" w14:textId="67064F34">
      <w:pPr>
        <w:rPr>
          <w:rFonts w:eastAsia="Arial" w:cs="Arial"/>
          <w:lang w:val="en-GB"/>
        </w:rPr>
      </w:pPr>
      <w:r>
        <w:rPr>
          <w:rFonts w:eastAsia="Arial" w:cs="Arial"/>
          <w:lang w:val="en-GB"/>
        </w:rPr>
        <w:t>To ensure p</w:t>
      </w:r>
      <w:r w:rsidRPr="004F35E0" w:rsidR="004F35E0">
        <w:rPr>
          <w:rFonts w:eastAsia="Arial" w:cs="Arial"/>
          <w:lang w:val="en-GB"/>
        </w:rPr>
        <w:t>rivacy only the minimum necessary data is shared for a clearly defined purpose, supported by strict access controls and privacy-enhancing techniques such as anonymization or federated access. The principle of “</w:t>
      </w:r>
      <w:r w:rsidR="0028648E">
        <w:rPr>
          <w:rFonts w:eastAsia="Arial" w:cs="Arial"/>
          <w:lang w:val="en-GB"/>
        </w:rPr>
        <w:t>O</w:t>
      </w:r>
      <w:r w:rsidRPr="004F35E0" w:rsidR="004F35E0">
        <w:rPr>
          <w:rFonts w:eastAsia="Arial" w:cs="Arial"/>
          <w:lang w:val="en-GB"/>
        </w:rPr>
        <w:t>ught before can” is particularly important here, as it introduces a decision checkpoint where stakeholders must justify why data should be used before considering whether it is technically possible. This prevents unnecessary or excessive data sharing and aligns data use with ethical intent.</w:t>
      </w:r>
    </w:p>
    <w:p w:rsidRPr="00C128C6" w:rsidR="009A679D" w:rsidP="003A4496" w:rsidRDefault="003A4496" w14:paraId="7372AB99" w14:textId="2BAB2368">
      <w:pPr>
        <w:pStyle w:val="Heading3"/>
        <w:framePr w:wrap="around"/>
        <w:rPr>
          <w:lang w:val="en-US"/>
        </w:rPr>
      </w:pPr>
      <w:bookmarkStart w:name="_Toc231982048" w:id="16"/>
      <w:r w:rsidRPr="00C128C6">
        <w:rPr>
          <w:lang w:val="en-US"/>
        </w:rPr>
        <w:t xml:space="preserve">3.3.2 </w:t>
      </w:r>
      <w:r w:rsidRPr="00C128C6" w:rsidR="007A42DB">
        <w:rPr>
          <w:lang w:val="en-US"/>
        </w:rPr>
        <w:t>Equity</w:t>
      </w:r>
      <w:bookmarkEnd w:id="16"/>
      <w:r w:rsidRPr="00C128C6" w:rsidR="007A42DB">
        <w:rPr>
          <w:lang w:val="en-US"/>
        </w:rPr>
        <w:t xml:space="preserve"> </w:t>
      </w:r>
    </w:p>
    <w:p w:rsidR="00432558" w:rsidP="00C128C6" w:rsidRDefault="00C128C6" w14:paraId="4D9E8175" w14:textId="77777777">
      <w:pPr>
        <w:rPr>
          <w:rFonts w:eastAsia="Arial" w:cs="Arial"/>
        </w:rPr>
      </w:pPr>
      <w:r>
        <w:rPr>
          <w:rFonts w:eastAsia="Arial" w:cs="Arial"/>
          <w:lang w:val="en-GB"/>
        </w:rPr>
        <w:br/>
      </w:r>
    </w:p>
    <w:p w:rsidRPr="001343FC" w:rsidR="00C128C6" w:rsidP="00C128C6" w:rsidRDefault="00C128C6" w14:paraId="0671E52F" w14:textId="2BE76DAA">
      <w:pPr>
        <w:rPr>
          <w:rFonts w:eastAsia="Arial" w:cs="Arial"/>
        </w:rPr>
      </w:pPr>
      <w:r w:rsidRPr="00C128C6">
        <w:rPr>
          <w:rFonts w:eastAsia="Arial" w:cs="Arial"/>
        </w:rPr>
        <w:t xml:space="preserve">Equity requires that the dataspace actively prevents biased or exclusionary outcomes. This can be implemented through systematic checks for bias in datasets and algorithms, as well as by ensuring that data collection practices do not underrepresent certain groups. </w:t>
      </w:r>
      <w:r w:rsidR="00AD1B4A">
        <w:rPr>
          <w:rFonts w:eastAsia="Arial" w:cs="Arial"/>
        </w:rPr>
        <w:t xml:space="preserve">To </w:t>
      </w:r>
      <w:r w:rsidR="00FC7197">
        <w:rPr>
          <w:rFonts w:eastAsia="Arial" w:cs="Arial"/>
        </w:rPr>
        <w:t>measure bias and fairness KPIs need to be</w:t>
      </w:r>
      <w:r w:rsidR="00306422">
        <w:rPr>
          <w:rFonts w:eastAsia="Arial" w:cs="Arial"/>
        </w:rPr>
        <w:t xml:space="preserve"> put in place which should be dataset specific. </w:t>
      </w:r>
      <w:r w:rsidRPr="00C128C6">
        <w:rPr>
          <w:rFonts w:eastAsia="Arial" w:cs="Arial"/>
        </w:rPr>
        <w:t>Fairness should be treated as a required evaluation criterion before deploying any data-driven solution, while accessibility ensures that both the benefits of the dataspace and access to its services are inclusive.</w:t>
      </w:r>
    </w:p>
    <w:p w:rsidRPr="00470ED9" w:rsidR="007A42DB" w:rsidP="003A4496" w:rsidRDefault="003A4496" w14:paraId="65A5F957" w14:textId="7BB58A24">
      <w:pPr>
        <w:pStyle w:val="Heading3"/>
        <w:framePr w:wrap="around"/>
        <w:rPr>
          <w:lang w:val="en-US"/>
        </w:rPr>
      </w:pPr>
      <w:bookmarkStart w:name="_Toc231982049" w:id="17"/>
      <w:r w:rsidRPr="00470ED9">
        <w:rPr>
          <w:lang w:val="en-US"/>
        </w:rPr>
        <w:t xml:space="preserve">3.3.3 </w:t>
      </w:r>
      <w:r w:rsidRPr="00470ED9" w:rsidR="00426020">
        <w:rPr>
          <w:lang w:val="en-US"/>
        </w:rPr>
        <w:t>Trust</w:t>
      </w:r>
      <w:bookmarkEnd w:id="17"/>
    </w:p>
    <w:p w:rsidR="00432558" w:rsidP="00470ED9" w:rsidRDefault="00470ED9" w14:paraId="2E14FC7F" w14:textId="77777777">
      <w:pPr>
        <w:rPr>
          <w:rFonts w:eastAsia="Arial" w:cs="Arial"/>
        </w:rPr>
      </w:pPr>
      <w:r>
        <w:rPr>
          <w:rFonts w:eastAsia="Arial" w:cs="Arial"/>
          <w:lang w:val="en-GB"/>
        </w:rPr>
        <w:br/>
      </w:r>
    </w:p>
    <w:p w:rsidRPr="00470ED9" w:rsidR="00426020" w:rsidP="00470ED9" w:rsidRDefault="00470ED9" w14:paraId="5DB3691C" w14:textId="54D94410">
      <w:pPr>
        <w:rPr>
          <w:rFonts w:eastAsia="Arial" w:cs="Arial"/>
          <w:lang w:val="en-GB"/>
        </w:rPr>
      </w:pPr>
      <w:r w:rsidRPr="00470ED9">
        <w:rPr>
          <w:rFonts w:eastAsia="Arial" w:cs="Arial"/>
        </w:rPr>
        <w:t xml:space="preserve">Trust is built through transparency and </w:t>
      </w:r>
      <w:proofErr w:type="gramStart"/>
      <w:r w:rsidRPr="00470ED9">
        <w:rPr>
          <w:rFonts w:eastAsia="Arial" w:cs="Arial"/>
        </w:rPr>
        <w:t>demonstrated</w:t>
      </w:r>
      <w:proofErr w:type="gramEnd"/>
      <w:r w:rsidRPr="00470ED9">
        <w:rPr>
          <w:rFonts w:eastAsia="Arial" w:cs="Arial"/>
        </w:rPr>
        <w:t xml:space="preserve"> societal value. In practice, this means making data usage visible and understandable to stakeholders, for example through audit logs or clear communication about who is using data and for what purpose. The principle of net benefit plays a key role, as stakeholders must be able to see that data use contributes positively to society rather than serving only narrow organizational interests.</w:t>
      </w:r>
    </w:p>
    <w:p w:rsidRPr="00596C5E" w:rsidR="00426020" w:rsidP="003A4496" w:rsidRDefault="003A4496" w14:paraId="0E5E955F" w14:textId="5D950D74">
      <w:pPr>
        <w:pStyle w:val="Heading3"/>
        <w:framePr w:wrap="around"/>
        <w:rPr>
          <w:lang w:val="en-US"/>
        </w:rPr>
      </w:pPr>
      <w:bookmarkStart w:name="_Toc231982050" w:id="18"/>
      <w:r w:rsidRPr="00596C5E">
        <w:rPr>
          <w:lang w:val="en-US"/>
        </w:rPr>
        <w:t xml:space="preserve">3.3.4 </w:t>
      </w:r>
      <w:r w:rsidRPr="00596C5E" w:rsidR="00426020">
        <w:rPr>
          <w:lang w:val="en-US"/>
        </w:rPr>
        <w:t>Governance</w:t>
      </w:r>
      <w:bookmarkEnd w:id="18"/>
    </w:p>
    <w:p w:rsidR="00432558" w:rsidP="00596C5E" w:rsidRDefault="00596C5E" w14:paraId="5D37F517" w14:textId="77777777">
      <w:pPr>
        <w:rPr>
          <w:rFonts w:eastAsia="Arial" w:cs="Arial"/>
        </w:rPr>
      </w:pPr>
      <w:r>
        <w:rPr>
          <w:rFonts w:eastAsia="Arial" w:cs="Arial"/>
          <w:lang w:val="en-GB"/>
        </w:rPr>
        <w:br/>
      </w:r>
    </w:p>
    <w:p w:rsidRPr="00596C5E" w:rsidR="00426020" w:rsidP="00596C5E" w:rsidRDefault="00596C5E" w14:paraId="190788BD" w14:textId="56ADD1B8">
      <w:pPr>
        <w:rPr>
          <w:rFonts w:eastAsia="Arial" w:cs="Arial"/>
          <w:lang w:val="en-GB"/>
        </w:rPr>
      </w:pPr>
      <w:r w:rsidRPr="00596C5E">
        <w:rPr>
          <w:rFonts w:eastAsia="Arial" w:cs="Arial"/>
        </w:rPr>
        <w:t xml:space="preserve">Governance ensures that ethical principles are enforced rather than </w:t>
      </w:r>
      <w:r w:rsidR="000F013E">
        <w:rPr>
          <w:rFonts w:eastAsia="Arial" w:cs="Arial"/>
        </w:rPr>
        <w:t xml:space="preserve">being </w:t>
      </w:r>
      <w:r w:rsidRPr="00596C5E">
        <w:rPr>
          <w:rFonts w:eastAsia="Arial" w:cs="Arial"/>
        </w:rPr>
        <w:t>optional</w:t>
      </w:r>
      <w:r w:rsidR="000F013E">
        <w:rPr>
          <w:rFonts w:eastAsia="Arial" w:cs="Arial"/>
        </w:rPr>
        <w:t xml:space="preserve"> or just suggestions</w:t>
      </w:r>
      <w:r w:rsidRPr="00596C5E">
        <w:rPr>
          <w:rFonts w:eastAsia="Arial" w:cs="Arial"/>
        </w:rPr>
        <w:t>. This involves clearly defined roles such as data owners</w:t>
      </w:r>
      <w:r w:rsidR="00CB4BC3">
        <w:rPr>
          <w:rFonts w:eastAsia="Arial" w:cs="Arial"/>
        </w:rPr>
        <w:t>/providers, users</w:t>
      </w:r>
      <w:r w:rsidRPr="00596C5E">
        <w:rPr>
          <w:rFonts w:eastAsia="Arial" w:cs="Arial"/>
        </w:rPr>
        <w:t xml:space="preserve"> and </w:t>
      </w:r>
      <w:r w:rsidR="00CB4BC3">
        <w:rPr>
          <w:rFonts w:eastAsia="Arial" w:cs="Arial"/>
        </w:rPr>
        <w:t>governing officials</w:t>
      </w:r>
      <w:r w:rsidR="00555DB6">
        <w:rPr>
          <w:rFonts w:eastAsia="Arial" w:cs="Arial"/>
        </w:rPr>
        <w:t>. F</w:t>
      </w:r>
      <w:r w:rsidRPr="00596C5E">
        <w:rPr>
          <w:rFonts w:eastAsia="Arial" w:cs="Arial"/>
        </w:rPr>
        <w:t>ormal approval processes for data access and mechanisms to assign responsibility when something goes wrong</w:t>
      </w:r>
      <w:r w:rsidR="00AA32D3">
        <w:rPr>
          <w:rFonts w:eastAsia="Arial" w:cs="Arial"/>
        </w:rPr>
        <w:t xml:space="preserve"> are essential </w:t>
      </w:r>
      <w:r w:rsidR="000067B8">
        <w:rPr>
          <w:rFonts w:eastAsia="Arial" w:cs="Arial"/>
        </w:rPr>
        <w:t>to ensure control and transparency</w:t>
      </w:r>
      <w:r w:rsidRPr="00596C5E">
        <w:rPr>
          <w:rFonts w:eastAsia="Arial" w:cs="Arial"/>
        </w:rPr>
        <w:t>. Self-determination can be incorporated by giving individuals or stakeholders a degree of control over how their data is used, where applicable. Responsibility must always be traceable to specific actors, ensuring accountability within the system.</w:t>
      </w:r>
    </w:p>
    <w:p w:rsidR="00426020" w:rsidP="003A4496" w:rsidRDefault="003A4496" w14:paraId="5CA750F1" w14:textId="070CA927">
      <w:pPr>
        <w:pStyle w:val="Heading3"/>
        <w:framePr w:wrap="around"/>
        <w:rPr>
          <w:lang w:val="en-US"/>
        </w:rPr>
      </w:pPr>
      <w:bookmarkStart w:name="_Toc231982051" w:id="19"/>
      <w:r w:rsidRPr="00432558">
        <w:rPr>
          <w:lang w:val="en-US"/>
        </w:rPr>
        <w:t xml:space="preserve">3.3.5 </w:t>
      </w:r>
      <w:r w:rsidRPr="00432558" w:rsidR="00426020">
        <w:rPr>
          <w:lang w:val="en-US"/>
        </w:rPr>
        <w:t>Human-centered design</w:t>
      </w:r>
      <w:bookmarkEnd w:id="19"/>
    </w:p>
    <w:p w:rsidR="00432558" w:rsidP="00432558" w:rsidRDefault="00432558" w14:paraId="1A7665FC" w14:textId="77777777">
      <w:r>
        <w:br/>
      </w:r>
    </w:p>
    <w:p w:rsidRPr="00432558" w:rsidR="00432558" w:rsidP="00432558" w:rsidRDefault="00432558" w14:paraId="4C166051" w14:textId="7806834F">
      <w:r w:rsidRPr="00432558">
        <w:t xml:space="preserve">Human-centered design ensures that the dataspace remains focused on the people it affects rather than treating individuals merely as sources of data. This can be implemented by incorporating user impact assessments, involving </w:t>
      </w:r>
      <w:r w:rsidR="00FC3F97">
        <w:t>users and data providers</w:t>
      </w:r>
      <w:r w:rsidRPr="00432558">
        <w:t xml:space="preserve"> in the design process and ensuring that systems and interfaces are understandable and accessible</w:t>
      </w:r>
      <w:r w:rsidR="00C70700">
        <w:t xml:space="preserve"> by performing user testing</w:t>
      </w:r>
      <w:r w:rsidRPr="00432558">
        <w:t xml:space="preserve">. The principle of non-instrumentalism reinforces the idea that individuals should not be reduced to data points but must be considered as participants whose rights and </w:t>
      </w:r>
      <w:proofErr w:type="gramStart"/>
      <w:r w:rsidRPr="00432558">
        <w:t>interests</w:t>
      </w:r>
      <w:proofErr w:type="gramEnd"/>
      <w:r w:rsidRPr="00432558">
        <w:t xml:space="preserve"> matter.</w:t>
      </w:r>
    </w:p>
    <w:p w:rsidRPr="00110AFC" w:rsidR="00D95E7D" w:rsidP="00ED5BA8" w:rsidRDefault="00D95E7D" w14:paraId="64C8396C" w14:textId="6C1DA2DF">
      <w:pPr>
        <w:pStyle w:val="Heading2"/>
        <w:numPr>
          <w:ilvl w:val="1"/>
          <w:numId w:val="10"/>
        </w:numPr>
        <w:rPr>
          <w:rFonts w:cs="Calibri"/>
        </w:rPr>
      </w:pPr>
      <w:bookmarkStart w:name="_Toc218177557" w:id="20"/>
      <w:bookmarkStart w:name="_Toc231982052" w:id="21"/>
      <w:r w:rsidRPr="00110AFC">
        <w:rPr>
          <w:rFonts w:cs="Calibri"/>
          <w:bCs/>
        </w:rPr>
        <w:t>Conclusion</w:t>
      </w:r>
      <w:bookmarkEnd w:id="20"/>
      <w:bookmarkEnd w:id="21"/>
    </w:p>
    <w:p w:rsidR="00AC1AE0" w:rsidRDefault="00AC1AE0" w14:paraId="3371DB2C" w14:textId="77777777">
      <w:pPr>
        <w:rPr>
          <w:rFonts w:ascii="Calibri" w:hAnsi="Calibri" w:cs="Calibri"/>
        </w:rPr>
      </w:pPr>
    </w:p>
    <w:p w:rsidRPr="00224A2E" w:rsidR="00257720" w:rsidRDefault="00224A2E" w14:paraId="29C0CC66" w14:textId="7172F755">
      <w:pPr>
        <w:rPr>
          <w:rFonts w:cs="Arial"/>
        </w:rPr>
      </w:pPr>
      <w:r w:rsidRPr="00224A2E">
        <w:rPr>
          <w:rFonts w:cs="Arial"/>
        </w:rPr>
        <w:t xml:space="preserve">Responsible and ethical data usage within smart city </w:t>
      </w:r>
      <w:r>
        <w:rPr>
          <w:rFonts w:cs="Arial"/>
        </w:rPr>
        <w:t xml:space="preserve">dataspaces requires both a clear set of principles and governance mechanisms that enforce them in practice. The </w:t>
      </w:r>
      <w:r w:rsidR="003E4755">
        <w:rPr>
          <w:rFonts w:cs="Arial"/>
        </w:rPr>
        <w:t>literature</w:t>
      </w:r>
      <w:r w:rsidR="00CD67CB">
        <w:rPr>
          <w:rFonts w:cs="Arial"/>
        </w:rPr>
        <w:t xml:space="preserve"> study, guideline analysis, and stakeholder workshop </w:t>
      </w:r>
      <w:r w:rsidR="00306F75">
        <w:rPr>
          <w:rFonts w:cs="Arial"/>
        </w:rPr>
        <w:t>all point to privacy, transparency</w:t>
      </w:r>
      <w:r w:rsidR="00612579">
        <w:rPr>
          <w:rFonts w:cs="Arial"/>
        </w:rPr>
        <w:t>, accountability</w:t>
      </w:r>
      <w:r w:rsidR="008B164E">
        <w:rPr>
          <w:rFonts w:cs="Arial"/>
        </w:rPr>
        <w:t xml:space="preserve">, equity, </w:t>
      </w:r>
      <w:r w:rsidR="00DA6AD4">
        <w:rPr>
          <w:rFonts w:cs="Arial"/>
        </w:rPr>
        <w:t>and human-</w:t>
      </w:r>
      <w:r w:rsidR="00444D80">
        <w:rPr>
          <w:rFonts w:cs="Arial"/>
        </w:rPr>
        <w:t>centred</w:t>
      </w:r>
      <w:r w:rsidR="00DA6AD4">
        <w:rPr>
          <w:rFonts w:cs="Arial"/>
        </w:rPr>
        <w:t xml:space="preserve"> </w:t>
      </w:r>
      <w:r w:rsidR="00964735">
        <w:rPr>
          <w:rFonts w:cs="Arial"/>
        </w:rPr>
        <w:t>design</w:t>
      </w:r>
      <w:r w:rsidR="00B16BCA">
        <w:rPr>
          <w:rFonts w:cs="Arial"/>
        </w:rPr>
        <w:t xml:space="preserve"> as the main dimensions, of which each require</w:t>
      </w:r>
      <w:r w:rsidR="00090E56">
        <w:rPr>
          <w:rFonts w:cs="Arial"/>
        </w:rPr>
        <w:t xml:space="preserve">s concrete implementation through defined roles, approval processes, bias checks, and traceable responsibility. The Inzicht Verlicht dataspace </w:t>
      </w:r>
      <w:r w:rsidR="00361C9A">
        <w:rPr>
          <w:rFonts w:cs="Arial"/>
        </w:rPr>
        <w:t>has an ethical baseline</w:t>
      </w:r>
      <w:r w:rsidR="00FB62A5">
        <w:rPr>
          <w:rFonts w:cs="Arial"/>
        </w:rPr>
        <w:t>, but gaps in re-identification risk assessment, independent oversight, and formal ethics review</w:t>
      </w:r>
      <w:r w:rsidR="00145CE3">
        <w:rPr>
          <w:rFonts w:cs="Arial"/>
        </w:rPr>
        <w:t>, which need to be addressed through the governance framework to ensure these principles are upheld rather than just stated.</w:t>
      </w:r>
      <w:r w:rsidRPr="00224A2E" w:rsidR="002561D7">
        <w:rPr>
          <w:rFonts w:cs="Arial"/>
        </w:rPr>
        <w:br w:type="page"/>
      </w:r>
    </w:p>
    <w:p w:rsidRPr="00110370" w:rsidR="00257720" w:rsidP="00ED5BA8" w:rsidRDefault="00ED5BA8" w14:paraId="3631C444" w14:textId="59380CED">
      <w:pPr>
        <w:pStyle w:val="Heading1"/>
        <w:ind w:left="709" w:hanging="709"/>
        <w:rPr>
          <w:rFonts w:cs="Calibri"/>
          <w:lang w:val="en-US"/>
        </w:rPr>
      </w:pPr>
      <w:bookmarkStart w:name="_Toc231982053" w:id="22"/>
      <w:r w:rsidRPr="00110370">
        <w:rPr>
          <w:rFonts w:cs="Calibri"/>
          <w:lang w:val="en-US"/>
        </w:rPr>
        <w:t xml:space="preserve">4. </w:t>
      </w:r>
      <w:r w:rsidRPr="00110370" w:rsidR="00257720">
        <w:rPr>
          <w:rFonts w:cs="Calibri"/>
          <w:lang w:val="en-US"/>
        </w:rPr>
        <w:t>Question 2</w:t>
      </w:r>
      <w:bookmarkEnd w:id="22"/>
    </w:p>
    <w:p w:rsidRPr="009C1CFB" w:rsidR="00257720" w:rsidP="00257720" w:rsidRDefault="494EB2EC" w14:paraId="0653C677" w14:textId="74A15E3B">
      <w:pPr>
        <w:rPr>
          <w:b/>
          <w:i/>
          <w:lang w:val="en-GB"/>
        </w:rPr>
      </w:pPr>
      <w:r w:rsidRPr="009C1CFB">
        <w:rPr>
          <w:b/>
          <w:i/>
          <w:lang w:val="en-GB"/>
        </w:rPr>
        <w:t>“</w:t>
      </w:r>
      <w:r w:rsidRPr="009C1CFB" w:rsidR="00257720">
        <w:rPr>
          <w:b/>
          <w:i/>
          <w:lang w:val="en-GB"/>
        </w:rPr>
        <w:t>How can data usage within a dataspace be monitored and evaluated to ensure accountability and transparency</w:t>
      </w:r>
      <w:r w:rsidRPr="009C1CFB" w:rsidR="7CCDFE27">
        <w:rPr>
          <w:b/>
          <w:i/>
          <w:lang w:val="en-GB"/>
        </w:rPr>
        <w:t>?</w:t>
      </w:r>
      <w:r w:rsidRPr="009C1CFB" w:rsidR="7C9702BF">
        <w:rPr>
          <w:b/>
          <w:i/>
          <w:lang w:val="en-GB"/>
        </w:rPr>
        <w:t>”</w:t>
      </w:r>
    </w:p>
    <w:tbl>
      <w:tblPr>
        <w:tblStyle w:val="TableGrid"/>
        <w:tblW w:w="11058" w:type="dxa"/>
        <w:tblInd w:w="-998" w:type="dxa"/>
        <w:tblLook w:val="04A0" w:firstRow="1" w:lastRow="0" w:firstColumn="1" w:lastColumn="0" w:noHBand="0" w:noVBand="1"/>
      </w:tblPr>
      <w:tblGrid>
        <w:gridCol w:w="1964"/>
        <w:gridCol w:w="5285"/>
        <w:gridCol w:w="2108"/>
        <w:gridCol w:w="1701"/>
      </w:tblGrid>
      <w:tr w:rsidRPr="00110AFC" w:rsidR="0064576E" w:rsidTr="007E2A4E" w14:paraId="4E04C21E" w14:textId="77777777">
        <w:tc>
          <w:tcPr>
            <w:tcW w:w="1407" w:type="dxa"/>
          </w:tcPr>
          <w:p w:rsidRPr="001C7335" w:rsidR="00257720" w:rsidP="007E2A4E" w:rsidRDefault="00257720" w14:paraId="60A15BC2" w14:textId="77777777">
            <w:pPr>
              <w:rPr>
                <w:b/>
              </w:rPr>
            </w:pPr>
            <w:r w:rsidRPr="001C7335">
              <w:rPr>
                <w:b/>
              </w:rPr>
              <w:t>Research Strategies</w:t>
            </w:r>
          </w:p>
        </w:tc>
        <w:tc>
          <w:tcPr>
            <w:tcW w:w="5682" w:type="dxa"/>
          </w:tcPr>
          <w:p w:rsidRPr="001C7335" w:rsidR="00257720" w:rsidP="007E2A4E" w:rsidRDefault="00257720" w14:paraId="294A0F40" w14:textId="77777777">
            <w:pPr>
              <w:rPr>
                <w:b/>
              </w:rPr>
            </w:pPr>
            <w:r w:rsidRPr="001C7335">
              <w:rPr>
                <w:b/>
              </w:rPr>
              <w:t>How are the Strategies Applied</w:t>
            </w:r>
          </w:p>
        </w:tc>
        <w:tc>
          <w:tcPr>
            <w:tcW w:w="2261" w:type="dxa"/>
          </w:tcPr>
          <w:p w:rsidRPr="001C7335" w:rsidR="00257720" w:rsidP="007E2A4E" w:rsidRDefault="00257720" w14:paraId="1937C1B3" w14:textId="77777777">
            <w:pPr>
              <w:rPr>
                <w:b/>
              </w:rPr>
            </w:pPr>
            <w:r w:rsidRPr="001C7335">
              <w:rPr>
                <w:b/>
              </w:rPr>
              <w:t>Validation</w:t>
            </w:r>
          </w:p>
        </w:tc>
        <w:tc>
          <w:tcPr>
            <w:tcW w:w="1708" w:type="dxa"/>
          </w:tcPr>
          <w:p w:rsidRPr="001C7335" w:rsidR="00257720" w:rsidP="007E2A4E" w:rsidRDefault="00257720" w14:paraId="0B0EB364" w14:textId="77777777">
            <w:pPr>
              <w:rPr>
                <w:b/>
              </w:rPr>
            </w:pPr>
            <w:proofErr w:type="gramStart"/>
            <w:r w:rsidRPr="001C7335">
              <w:rPr>
                <w:b/>
              </w:rPr>
              <w:t>Stepping Stones</w:t>
            </w:r>
            <w:proofErr w:type="gramEnd"/>
          </w:p>
        </w:tc>
      </w:tr>
      <w:tr w:rsidRPr="00110AFC" w:rsidR="0064576E" w:rsidTr="007E2A4E" w14:paraId="57A91773" w14:textId="77777777">
        <w:trPr>
          <w:trHeight w:val="5755"/>
        </w:trPr>
        <w:tc>
          <w:tcPr>
            <w:tcW w:w="1407" w:type="dxa"/>
          </w:tcPr>
          <w:p w:rsidR="000943ED" w:rsidP="000943ED" w:rsidRDefault="000943ED" w14:paraId="44B310FA" w14:textId="77777777">
            <w:r w:rsidRPr="000943ED">
              <w:rPr>
                <w:lang w:val="en-GB"/>
              </w:rPr>
              <w:t>Field - Interview, Document Analysis</w:t>
            </w:r>
            <w:r w:rsidRPr="000943ED">
              <w:t> </w:t>
            </w:r>
          </w:p>
          <w:p w:rsidR="0070091C" w:rsidP="000943ED" w:rsidRDefault="0070091C" w14:paraId="1B1A2BA8" w14:textId="77777777"/>
          <w:p w:rsidR="000A041D" w:rsidP="000943ED" w:rsidRDefault="007E2A4E" w14:paraId="06A953B5" w14:textId="1F7403CC">
            <w:r>
              <w:rPr>
                <w:noProof/>
              </w:rPr>
              <w:drawing>
                <wp:inline distT="0" distB="0" distL="0" distR="0" wp14:anchorId="73F8BE3C" wp14:editId="0BB4502A">
                  <wp:extent cx="476885" cy="476885"/>
                  <wp:effectExtent l="0" t="0" r="0" b="0"/>
                  <wp:docPr id="2132338832" name="Picture 5" descr="fi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iel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76885" cy="476885"/>
                          </a:xfrm>
                          <a:prstGeom prst="rect">
                            <a:avLst/>
                          </a:prstGeom>
                          <a:noFill/>
                          <a:ln>
                            <a:noFill/>
                          </a:ln>
                        </pic:spPr>
                      </pic:pic>
                    </a:graphicData>
                  </a:graphic>
                </wp:inline>
              </w:drawing>
            </w:r>
          </w:p>
          <w:p w:rsidRPr="000A041D" w:rsidR="000A041D" w:rsidP="000943ED" w:rsidRDefault="000A041D" w14:paraId="04A79CF1" w14:textId="77777777"/>
          <w:p w:rsidR="000943ED" w:rsidP="000943ED" w:rsidRDefault="000943ED" w14:paraId="249F0E14" w14:textId="77777777">
            <w:r w:rsidRPr="000943ED">
              <w:rPr>
                <w:lang w:val="en-GB"/>
              </w:rPr>
              <w:t>Workshop - Brainstorm, Co-creation</w:t>
            </w:r>
            <w:r w:rsidRPr="000943ED">
              <w:t> </w:t>
            </w:r>
          </w:p>
          <w:p w:rsidR="0070091C" w:rsidP="000943ED" w:rsidRDefault="0070091C" w14:paraId="470B5D46" w14:textId="77777777"/>
          <w:p w:rsidR="000A041D" w:rsidP="000943ED" w:rsidRDefault="000A041D" w14:paraId="3D6364F1" w14:textId="09354B64">
            <w:r>
              <w:rPr>
                <w:noProof/>
              </w:rPr>
              <w:drawing>
                <wp:inline distT="0" distB="0" distL="0" distR="0" wp14:anchorId="7A7210E1" wp14:editId="56C61C37">
                  <wp:extent cx="476885" cy="476885"/>
                  <wp:effectExtent l="0" t="0" r="0" b="0"/>
                  <wp:docPr id="1470440760" name="Picture 4" descr="worksh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workshop"/>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76885" cy="476885"/>
                          </a:xfrm>
                          <a:prstGeom prst="rect">
                            <a:avLst/>
                          </a:prstGeom>
                          <a:noFill/>
                          <a:ln>
                            <a:noFill/>
                          </a:ln>
                        </pic:spPr>
                      </pic:pic>
                    </a:graphicData>
                  </a:graphic>
                </wp:inline>
              </w:drawing>
            </w:r>
          </w:p>
          <w:p w:rsidRPr="000A041D" w:rsidR="000A041D" w:rsidP="000943ED" w:rsidRDefault="000A041D" w14:paraId="6F1CBC21" w14:textId="77777777"/>
          <w:p w:rsidR="000943ED" w:rsidP="000943ED" w:rsidRDefault="000943ED" w14:paraId="04EBE525" w14:textId="77777777">
            <w:r w:rsidRPr="000943ED">
              <w:rPr>
                <w:lang w:val="en-GB"/>
              </w:rPr>
              <w:t>Library – Literature Study</w:t>
            </w:r>
            <w:r w:rsidRPr="000943ED">
              <w:t> </w:t>
            </w:r>
          </w:p>
          <w:p w:rsidR="000A041D" w:rsidP="000943ED" w:rsidRDefault="000A041D" w14:paraId="43FC34B4" w14:textId="77777777"/>
          <w:p w:rsidRPr="000A041D" w:rsidR="000A041D" w:rsidP="000943ED" w:rsidRDefault="000A041D" w14:paraId="42E051BE" w14:textId="32ACB5AC">
            <w:r>
              <w:rPr>
                <w:noProof/>
              </w:rPr>
              <w:drawing>
                <wp:inline distT="0" distB="0" distL="0" distR="0" wp14:anchorId="26C2648C" wp14:editId="0A981944">
                  <wp:extent cx="476885" cy="461010"/>
                  <wp:effectExtent l="0" t="0" r="0" b="0"/>
                  <wp:docPr id="1165638068" name="Picture 1" descr="libr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brary"/>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6885" cy="461010"/>
                          </a:xfrm>
                          <a:prstGeom prst="rect">
                            <a:avLst/>
                          </a:prstGeom>
                          <a:noFill/>
                          <a:ln>
                            <a:noFill/>
                          </a:ln>
                        </pic:spPr>
                      </pic:pic>
                    </a:graphicData>
                  </a:graphic>
                </wp:inline>
              </w:drawing>
            </w:r>
          </w:p>
          <w:p w:rsidRPr="00110AFC" w:rsidR="00257720" w:rsidP="007E2A4E" w:rsidRDefault="00257720" w14:paraId="31597799" w14:textId="77777777"/>
        </w:tc>
        <w:tc>
          <w:tcPr>
            <w:tcW w:w="5682" w:type="dxa"/>
          </w:tcPr>
          <w:p w:rsidRPr="00110AFC" w:rsidR="00257720" w:rsidP="007E2A4E" w:rsidRDefault="000943ED" w14:paraId="504DF096" w14:textId="2ECD4542">
            <w:r w:rsidRPr="000943ED">
              <w:rPr>
                <w:lang w:val="en-GB"/>
              </w:rPr>
              <w:t>Interviews with stakeholders will gather insights on current monitoring practices and accountability measures (if any exist). With document analysis, we will examine existing policies, procedures and evaluation protocols, to gain ideas and inspiration on what to use for the project. Brainstorming and co-creation workshops with stakeholders will generate ideas for monitoring mechanisms and key performance indicators. Literature study will provide a theoretical background on monitoring frameworks and transparency mechanisms.</w:t>
            </w:r>
            <w:r w:rsidRPr="000943ED">
              <w:t> </w:t>
            </w:r>
          </w:p>
        </w:tc>
        <w:tc>
          <w:tcPr>
            <w:tcW w:w="2261" w:type="dxa"/>
          </w:tcPr>
          <w:p w:rsidRPr="00110AFC" w:rsidR="00257720" w:rsidP="007E2A4E" w:rsidRDefault="000943ED" w14:paraId="591399AF" w14:textId="06CB28B0">
            <w:r w:rsidRPr="000943ED">
              <w:rPr>
                <w:lang w:val="en-GB"/>
              </w:rPr>
              <w:t>Stakeholder validation of proposed monitoring approaches and feedback during meetings </w:t>
            </w:r>
            <w:r w:rsidRPr="000943ED">
              <w:t> </w:t>
            </w:r>
          </w:p>
        </w:tc>
        <w:tc>
          <w:tcPr>
            <w:tcW w:w="1708" w:type="dxa"/>
          </w:tcPr>
          <w:p w:rsidRPr="00110AFC" w:rsidR="00257720" w:rsidP="007E2A4E" w:rsidRDefault="0070091C" w14:paraId="5FFBBDB1" w14:textId="3BF1BFC1">
            <w:r w:rsidRPr="0070091C">
              <w:rPr>
                <w:lang w:val="en-GB"/>
              </w:rPr>
              <w:t>List of practical monitoring methods, accountability measures and evaluation indicators tailored to the dataspace context</w:t>
            </w:r>
            <w:r w:rsidRPr="0070091C">
              <w:t> </w:t>
            </w:r>
          </w:p>
        </w:tc>
      </w:tr>
    </w:tbl>
    <w:p w:rsidR="00257720" w:rsidRDefault="00257720" w14:paraId="2612B18A" w14:textId="77777777">
      <w:pPr>
        <w:rPr>
          <w:rFonts w:ascii="Calibri" w:hAnsi="Calibri" w:cs="Calibri"/>
        </w:rPr>
      </w:pPr>
    </w:p>
    <w:p w:rsidR="0070091C" w:rsidP="00ED5BA8" w:rsidRDefault="0070091C" w14:paraId="09A5D407" w14:textId="6AA2E9A6">
      <w:pPr>
        <w:pStyle w:val="Heading2"/>
        <w:numPr>
          <w:ilvl w:val="1"/>
          <w:numId w:val="11"/>
        </w:numPr>
        <w:rPr>
          <w:rFonts w:cs="Calibri"/>
          <w:bCs/>
        </w:rPr>
      </w:pPr>
      <w:bookmarkStart w:name="_Toc231982054" w:id="23"/>
      <w:r>
        <w:rPr>
          <w:rFonts w:cs="Calibri"/>
          <w:bCs/>
        </w:rPr>
        <w:t>Field</w:t>
      </w:r>
      <w:bookmarkEnd w:id="23"/>
    </w:p>
    <w:p w:rsidRPr="00724661" w:rsidR="00724661" w:rsidP="00724661" w:rsidRDefault="00AD696E" w14:paraId="1B71619E" w14:textId="12D520DA">
      <w:r>
        <w:t>To</w:t>
      </w:r>
      <w:r w:rsidR="00110370">
        <w:t xml:space="preserve"> </w:t>
      </w:r>
      <w:r w:rsidR="00660F25">
        <w:t>determine</w:t>
      </w:r>
      <w:r w:rsidR="00110370">
        <w:t xml:space="preserve"> what was </w:t>
      </w:r>
      <w:r w:rsidR="00660F25">
        <w:t>required</w:t>
      </w:r>
      <w:r w:rsidR="00110370">
        <w:t xml:space="preserve"> for this project, meetings </w:t>
      </w:r>
      <w:r w:rsidR="00D9417A">
        <w:t>(</w:t>
      </w:r>
      <w:r w:rsidRPr="00D9417A" w:rsidR="00D9417A">
        <w:rPr>
          <w:b/>
          <w:bCs/>
        </w:rPr>
        <w:t>Interviews</w:t>
      </w:r>
      <w:r w:rsidR="00D9417A">
        <w:t xml:space="preserve">) </w:t>
      </w:r>
      <w:r w:rsidR="00110370">
        <w:t>were held</w:t>
      </w:r>
      <w:r w:rsidR="00290DD1">
        <w:t xml:space="preserve"> with the main stakeholder.</w:t>
      </w:r>
      <w:r w:rsidR="00110370">
        <w:t xml:space="preserve"> </w:t>
      </w:r>
      <w:r w:rsidR="007E4B92">
        <w:t>The first one on 23</w:t>
      </w:r>
      <w:r w:rsidRPr="00C146C6" w:rsidR="00C146C6">
        <w:rPr>
          <w:vertAlign w:val="superscript"/>
        </w:rPr>
        <w:t>rd</w:t>
      </w:r>
      <w:r w:rsidR="00C146C6">
        <w:t xml:space="preserve"> of February</w:t>
      </w:r>
      <w:r w:rsidR="00A62507">
        <w:t>,</w:t>
      </w:r>
      <w:r w:rsidR="00C22F71">
        <w:t xml:space="preserve"> a</w:t>
      </w:r>
      <w:r w:rsidR="00780256">
        <w:t xml:space="preserve">fter which </w:t>
      </w:r>
      <w:r w:rsidR="007E1177">
        <w:t>week</w:t>
      </w:r>
      <w:r w:rsidR="00FD2709">
        <w:t>ly meetings</w:t>
      </w:r>
      <w:r w:rsidR="009D08B9">
        <w:t xml:space="preserve"> </w:t>
      </w:r>
      <w:r w:rsidR="00C50AE8">
        <w:t>were</w:t>
      </w:r>
      <w:r w:rsidR="00A62507">
        <w:t xml:space="preserve"> scheduled with </w:t>
      </w:r>
      <w:r w:rsidRPr="000107BD" w:rsidR="000107BD">
        <w:t>Amália</w:t>
      </w:r>
      <w:r w:rsidR="000107BD">
        <w:t xml:space="preserve"> </w:t>
      </w:r>
      <w:r w:rsidRPr="000107BD" w:rsidR="000107BD">
        <w:t>Oliveira De Arruda Camara</w:t>
      </w:r>
      <w:r w:rsidR="009321B0">
        <w:t xml:space="preserve">. </w:t>
      </w:r>
      <w:r w:rsidR="00C50AE8">
        <w:t>During</w:t>
      </w:r>
      <w:r w:rsidR="005B0C52">
        <w:t xml:space="preserve"> </w:t>
      </w:r>
      <w:r w:rsidR="00EE3FC5">
        <w:t>these meetings</w:t>
      </w:r>
      <w:r w:rsidR="00C50AE8">
        <w:t>, the</w:t>
      </w:r>
      <w:r w:rsidR="002F42C5">
        <w:t xml:space="preserve"> progress </w:t>
      </w:r>
      <w:r w:rsidR="00B93581">
        <w:t>of the project</w:t>
      </w:r>
      <w:r w:rsidR="00C50AE8">
        <w:t xml:space="preserve"> was discussed, and updates were given about the </w:t>
      </w:r>
      <w:r w:rsidR="00662E42">
        <w:t>status of the project</w:t>
      </w:r>
      <w:r w:rsidR="00B93581">
        <w:t>.</w:t>
      </w:r>
      <w:r w:rsidR="00B47DAA">
        <w:t xml:space="preserve"> </w:t>
      </w:r>
      <w:r w:rsidR="00662E42">
        <w:t>In addition</w:t>
      </w:r>
      <w:r w:rsidR="002462E4">
        <w:t>,</w:t>
      </w:r>
      <w:r w:rsidR="00B47DAA">
        <w:t xml:space="preserve"> these meetings </w:t>
      </w:r>
      <w:r w:rsidR="002462E4">
        <w:t>we</w:t>
      </w:r>
      <w:r w:rsidR="00C22F33">
        <w:t xml:space="preserve">re used to </w:t>
      </w:r>
      <w:r w:rsidR="00C20B93">
        <w:t>reflect on</w:t>
      </w:r>
      <w:r w:rsidR="002462E4">
        <w:t xml:space="preserve"> the importance of monitoring data </w:t>
      </w:r>
      <w:r w:rsidR="00E03333">
        <w:t xml:space="preserve">usage </w:t>
      </w:r>
      <w:r w:rsidR="00896560">
        <w:t xml:space="preserve">within the dataspace </w:t>
      </w:r>
      <w:r w:rsidR="004B4644">
        <w:t xml:space="preserve">and </w:t>
      </w:r>
      <w:r w:rsidR="00157623">
        <w:t>to explore potential approaches for improving ac</w:t>
      </w:r>
      <w:r w:rsidR="003628C2">
        <w:t>countability and trans</w:t>
      </w:r>
      <w:r w:rsidR="00B53267">
        <w:t>parency</w:t>
      </w:r>
      <w:r w:rsidR="004B4644">
        <w:t>.</w:t>
      </w:r>
    </w:p>
    <w:p w:rsidR="00FC082E" w:rsidP="00724661" w:rsidRDefault="00F163BB" w14:paraId="091D2913" w14:textId="081E5A77">
      <w:r>
        <w:t>The interviews followed a semi-structured format, meaning that there we</w:t>
      </w:r>
      <w:r w:rsidR="00FD69C6">
        <w:t>re</w:t>
      </w:r>
      <w:r>
        <w:t xml:space="preserve"> topics set in place, but there was also room </w:t>
      </w:r>
      <w:r w:rsidR="00FD69C6">
        <w:t>open for discussion. This made it possible to go deeper into relevant topics when needed. The interviews</w:t>
      </w:r>
      <w:r w:rsidR="00047C07">
        <w:t xml:space="preserve"> </w:t>
      </w:r>
      <w:r w:rsidR="00A97F05">
        <w:t>did not only serve as progress check-ins</w:t>
      </w:r>
      <w:r w:rsidR="00E52638">
        <w:t>,</w:t>
      </w:r>
      <w:r w:rsidR="00A97F05">
        <w:t xml:space="preserve"> but it </w:t>
      </w:r>
      <w:proofErr w:type="gramStart"/>
      <w:r w:rsidR="00A97F05">
        <w:t>is</w:t>
      </w:r>
      <w:proofErr w:type="gramEnd"/>
      <w:r w:rsidR="00A97F05">
        <w:t xml:space="preserve"> also a way to gather more informatio</w:t>
      </w:r>
      <w:r w:rsidR="0066140E">
        <w:t>n</w:t>
      </w:r>
      <w:r w:rsidR="00B7571E">
        <w:t>.</w:t>
      </w:r>
    </w:p>
    <w:p w:rsidRPr="00724661" w:rsidR="00BB18E6" w:rsidP="00724661" w:rsidRDefault="00825941" w14:paraId="041ED0D1" w14:textId="6A2F783B">
      <w:r>
        <w:t xml:space="preserve">To better understand </w:t>
      </w:r>
      <w:r w:rsidR="00A42A76">
        <w:t xml:space="preserve">what needed to be monitored and </w:t>
      </w:r>
      <w:r w:rsidR="00601CCB">
        <w:t>evaluated</w:t>
      </w:r>
      <w:r w:rsidR="00A42A76">
        <w:t xml:space="preserve">, </w:t>
      </w:r>
      <w:r w:rsidR="00C51C75">
        <w:t xml:space="preserve">a Document Analysis </w:t>
      </w:r>
      <w:r w:rsidR="00F94FF6">
        <w:t>took place</w:t>
      </w:r>
      <w:r w:rsidR="009562D7">
        <w:t xml:space="preserve">. </w:t>
      </w:r>
      <w:r w:rsidR="00601CCB">
        <w:t>The</w:t>
      </w:r>
      <w:r w:rsidR="00F94FF6">
        <w:t xml:space="preserve"> ana</w:t>
      </w:r>
      <w:r w:rsidR="00E52638">
        <w:t>lyzed</w:t>
      </w:r>
      <w:r w:rsidR="00601CCB">
        <w:t xml:space="preserve"> documents were made by the previous group</w:t>
      </w:r>
      <w:r w:rsidR="143C48D4">
        <w:t>;</w:t>
      </w:r>
      <w:r w:rsidR="00FD7942">
        <w:t xml:space="preserve"> they can be found under these names: </w:t>
      </w:r>
      <w:r w:rsidR="00D94CA7">
        <w:t>D4.2 Privacy and Data Sec</w:t>
      </w:r>
      <w:r w:rsidR="00F94E3A">
        <w:t xml:space="preserve">urity Plan, and </w:t>
      </w:r>
      <w:r w:rsidR="00F94E3A">
        <w:t>Business Advice CitizenCity v3.</w:t>
      </w:r>
      <w:r w:rsidR="007142B2">
        <w:t xml:space="preserve"> These documents provide insi</w:t>
      </w:r>
      <w:r w:rsidR="008E07F7">
        <w:t>ght into both the intended structure and the current challenges within the CitizenCity dataspace.</w:t>
      </w:r>
    </w:p>
    <w:p w:rsidRPr="00724661" w:rsidR="007E3C74" w:rsidP="00724661" w:rsidRDefault="007E3C74" w14:paraId="71AA30A9" w14:textId="63E387EC">
      <w:r>
        <w:t>From the</w:t>
      </w:r>
      <w:r w:rsidR="00ED4B96">
        <w:t xml:space="preserve"> </w:t>
      </w:r>
      <w:r w:rsidR="00D1774E">
        <w:t>Privacy and Data Security Plan, the analysis focusses on the structured five-step approach</w:t>
      </w:r>
      <w:r w:rsidR="00405240">
        <w:t>:</w:t>
      </w:r>
      <w:r w:rsidR="00D1774E">
        <w:t xml:space="preserve"> </w:t>
      </w:r>
      <w:r w:rsidR="006A3ACF">
        <w:t xml:space="preserve">Plan – Design – Prepare- Collect &amp; Analyze </w:t>
      </w:r>
      <w:r w:rsidR="00D76AA9">
        <w:t>–</w:t>
      </w:r>
      <w:r w:rsidR="006A3ACF">
        <w:t xml:space="preserve"> Share</w:t>
      </w:r>
      <w:r w:rsidR="00E944F2">
        <w:t xml:space="preserve">. This </w:t>
      </w:r>
      <w:r w:rsidR="00D76AA9">
        <w:t xml:space="preserve">approach </w:t>
      </w:r>
      <w:r w:rsidR="00E944F2">
        <w:t>follows</w:t>
      </w:r>
      <w:r w:rsidR="00942AAF">
        <w:t xml:space="preserve"> a </w:t>
      </w:r>
      <w:r w:rsidR="006F5C02">
        <w:t>waterfall</w:t>
      </w:r>
      <w:r w:rsidR="00942AAF">
        <w:t>-like</w:t>
      </w:r>
      <w:r w:rsidR="006F5C02">
        <w:t xml:space="preserve"> method</w:t>
      </w:r>
      <w:r w:rsidR="00D5266E">
        <w:t xml:space="preserve">, where </w:t>
      </w:r>
      <w:r w:rsidR="00F553C1">
        <w:t xml:space="preserve">each phase is completed </w:t>
      </w:r>
      <w:r w:rsidR="00E16A0B">
        <w:t xml:space="preserve">before </w:t>
      </w:r>
      <w:r w:rsidR="00EB3DFF">
        <w:t>moving on to the next, without returning to previous steps</w:t>
      </w:r>
      <w:r w:rsidR="006F5C02">
        <w:t>.</w:t>
      </w:r>
      <w:r w:rsidR="00C83D87">
        <w:t xml:space="preserve"> This structured process supports a systematic way of handling data th</w:t>
      </w:r>
      <w:r w:rsidR="00F821D0">
        <w:t xml:space="preserve">roughout its </w:t>
      </w:r>
      <w:r w:rsidR="00335746">
        <w:t>lifecycle.</w:t>
      </w:r>
      <w:r w:rsidR="004135AA">
        <w:t xml:space="preserve"> In </w:t>
      </w:r>
      <w:r w:rsidR="003D6D11">
        <w:t xml:space="preserve">addition </w:t>
      </w:r>
      <w:r w:rsidR="00EC225F">
        <w:t>to the process itself, the document describes</w:t>
      </w:r>
      <w:r w:rsidR="009544EA">
        <w:t xml:space="preserve"> the integration of </w:t>
      </w:r>
      <w:r w:rsidR="004F4664">
        <w:t xml:space="preserve">established </w:t>
      </w:r>
      <w:r w:rsidR="009544EA">
        <w:t xml:space="preserve">standards </w:t>
      </w:r>
      <w:r w:rsidR="004F4664">
        <w:t xml:space="preserve">such as </w:t>
      </w:r>
      <w:r w:rsidR="00D00AD9">
        <w:t>ISO27001, NIST</w:t>
      </w:r>
      <w:r w:rsidR="004F4664">
        <w:t xml:space="preserve"> and</w:t>
      </w:r>
      <w:r w:rsidR="00D00AD9">
        <w:t xml:space="preserve"> GDPR</w:t>
      </w:r>
      <w:r w:rsidR="001461BB">
        <w:t>.</w:t>
      </w:r>
      <w:r w:rsidR="00DF3CCC">
        <w:t xml:space="preserve"> </w:t>
      </w:r>
      <w:r w:rsidR="00E85EE6">
        <w:t xml:space="preserve">These </w:t>
      </w:r>
      <w:r w:rsidR="004F4664">
        <w:t xml:space="preserve">standards </w:t>
      </w:r>
      <w:r w:rsidR="00ED3497">
        <w:t xml:space="preserve">contribute to important aspects of data governance, including monitoring, access control, logging, and auditing, which are essential for ensuring </w:t>
      </w:r>
      <w:r w:rsidR="00AE676D">
        <w:t>accountability and transparency within the dataspace.</w:t>
      </w:r>
      <w:r w:rsidR="00462BDE">
        <w:t xml:space="preserve"> </w:t>
      </w:r>
    </w:p>
    <w:p w:rsidRPr="00724661" w:rsidR="00462BDE" w:rsidP="00724661" w:rsidRDefault="002F5100" w14:paraId="2E2D6B0D" w14:textId="2F627E03">
      <w:r>
        <w:t>T</w:t>
      </w:r>
      <w:r w:rsidR="00462BDE">
        <w:t>he Business Advice CitizenCity v3 Document</w:t>
      </w:r>
      <w:r>
        <w:t xml:space="preserve"> focuses on</w:t>
      </w:r>
      <w:r w:rsidR="002078D5">
        <w:t xml:space="preserve"> </w:t>
      </w:r>
      <w:r w:rsidR="00857F2B">
        <w:t xml:space="preserve">identifying gaps </w:t>
      </w:r>
      <w:r w:rsidR="00556C68">
        <w:t xml:space="preserve">within the dataspace. The analysis highlights several </w:t>
      </w:r>
      <w:r w:rsidR="00C97A9D">
        <w:t>key issues, including the abs</w:t>
      </w:r>
      <w:r w:rsidR="005A3F75">
        <w:t xml:space="preserve">ence of a clear </w:t>
      </w:r>
      <w:r w:rsidR="00857F2B">
        <w:t xml:space="preserve">governance </w:t>
      </w:r>
      <w:r w:rsidR="005A3F75">
        <w:t>structure</w:t>
      </w:r>
      <w:r w:rsidR="00C71ACE">
        <w:t xml:space="preserve">, and </w:t>
      </w:r>
      <w:r w:rsidR="00AA20EE">
        <w:t xml:space="preserve">unclear </w:t>
      </w:r>
      <w:r w:rsidR="00D555D6">
        <w:t>roles and responsibilities</w:t>
      </w:r>
      <w:r w:rsidR="00EC3BD0">
        <w:t>. Additionally,</w:t>
      </w:r>
      <w:r w:rsidR="004710D3">
        <w:t xml:space="preserve"> risks related to accountability and </w:t>
      </w:r>
      <w:r w:rsidR="008871B3">
        <w:t xml:space="preserve">data </w:t>
      </w:r>
      <w:r w:rsidR="004710D3">
        <w:t>ownership</w:t>
      </w:r>
      <w:r w:rsidR="008871B3">
        <w:t xml:space="preserve"> are identified, indicating that it is not always </w:t>
      </w:r>
      <w:r w:rsidR="00C671E7">
        <w:t xml:space="preserve">clear who is responsible for specific data or actions within the system. These findings </w:t>
      </w:r>
      <w:r w:rsidR="003C6AEF">
        <w:t>provide insight into</w:t>
      </w:r>
      <w:r w:rsidR="00235F17">
        <w:t xml:space="preserve"> the current situation</w:t>
      </w:r>
      <w:r w:rsidR="007D0FE7">
        <w:t>.</w:t>
      </w:r>
    </w:p>
    <w:p w:rsidR="0070091C" w:rsidP="00ED5BA8" w:rsidRDefault="0070091C" w14:paraId="70005307" w14:textId="371494E2">
      <w:pPr>
        <w:pStyle w:val="Heading2"/>
        <w:numPr>
          <w:ilvl w:val="1"/>
          <w:numId w:val="11"/>
        </w:numPr>
        <w:rPr>
          <w:rFonts w:cs="Calibri"/>
          <w:bCs/>
        </w:rPr>
      </w:pPr>
      <w:bookmarkStart w:name="_Toc231982055" w:id="24"/>
      <w:r>
        <w:rPr>
          <w:rFonts w:cs="Calibri"/>
          <w:bCs/>
        </w:rPr>
        <w:t>Workshop</w:t>
      </w:r>
      <w:bookmarkEnd w:id="24"/>
    </w:p>
    <w:p w:rsidRPr="00724661" w:rsidR="00724661" w:rsidP="00724661" w:rsidRDefault="007D0FE7" w14:paraId="7E38E12E" w14:textId="42FE5993">
      <w:r>
        <w:t>To generate possible solutions for improving the monitoring and evaluation of data usage</w:t>
      </w:r>
      <w:r w:rsidR="00CD3223">
        <w:t>, brainstorm sessions were held. During these sessions, ideas were gen</w:t>
      </w:r>
      <w:r w:rsidR="00F933C5">
        <w:t>erated in a</w:t>
      </w:r>
      <w:r w:rsidR="00304625">
        <w:t>n</w:t>
      </w:r>
      <w:r w:rsidR="00F933C5">
        <w:t xml:space="preserve"> open and creative </w:t>
      </w:r>
      <w:r w:rsidR="5F8D160C">
        <w:t>way;</w:t>
      </w:r>
      <w:r w:rsidR="00F933C5">
        <w:t xml:space="preserve"> </w:t>
      </w:r>
      <w:r w:rsidR="007B61B3">
        <w:t xml:space="preserve">participants were encouraged to contribute </w:t>
      </w:r>
      <w:r w:rsidR="003232CC">
        <w:t>without immediate criti</w:t>
      </w:r>
      <w:r w:rsidR="009313F9">
        <w:t xml:space="preserve">cism or evaluation. This allowed for a wide range of potential solutions to be explored. The brainstorm sessions focused </w:t>
      </w:r>
      <w:r w:rsidR="00AB6A37">
        <w:t>on identifying improvements related to</w:t>
      </w:r>
      <w:r w:rsidR="00C92CC5">
        <w:t>:</w:t>
      </w:r>
    </w:p>
    <w:p w:rsidR="00C92CC5" w:rsidP="00C92CC5" w:rsidRDefault="003F33B4" w14:paraId="71764485" w14:textId="51EBCD27">
      <w:pPr>
        <w:pStyle w:val="ListParagraph"/>
        <w:numPr>
          <w:ilvl w:val="0"/>
          <w:numId w:val="27"/>
        </w:numPr>
      </w:pPr>
      <w:r>
        <w:t>Monitoring mechanisms</w:t>
      </w:r>
    </w:p>
    <w:p w:rsidR="003F33B4" w:rsidP="00C92CC5" w:rsidRDefault="003F33B4" w14:paraId="13A3D32F" w14:textId="7A574AD3">
      <w:pPr>
        <w:pStyle w:val="ListParagraph"/>
        <w:numPr>
          <w:ilvl w:val="0"/>
          <w:numId w:val="27"/>
        </w:numPr>
      </w:pPr>
      <w:r>
        <w:t xml:space="preserve">Transparency of data flows </w:t>
      </w:r>
      <w:r w:rsidR="008555CB">
        <w:t>within the dataspace</w:t>
      </w:r>
    </w:p>
    <w:p w:rsidR="008555CB" w:rsidP="00C92CC5" w:rsidRDefault="008555CB" w14:paraId="67E466B1" w14:textId="636C65AB">
      <w:pPr>
        <w:pStyle w:val="ListParagraph"/>
        <w:numPr>
          <w:ilvl w:val="0"/>
          <w:numId w:val="27"/>
        </w:numPr>
      </w:pPr>
      <w:r>
        <w:t>Governance structures and responsibilities</w:t>
      </w:r>
    </w:p>
    <w:p w:rsidR="009E24AD" w:rsidP="009E24AD" w:rsidRDefault="009E24AD" w14:paraId="4422DDEB" w14:textId="280E7543">
      <w:r>
        <w:t xml:space="preserve">After generating ideas, </w:t>
      </w:r>
      <w:r w:rsidR="008E09C8">
        <w:t xml:space="preserve">the </w:t>
      </w:r>
      <w:r w:rsidR="004F462A">
        <w:t>results were grouped into themes to create a clearer o</w:t>
      </w:r>
      <w:r w:rsidR="00561590">
        <w:t>verview of possi</w:t>
      </w:r>
      <w:r w:rsidR="00337359">
        <w:t xml:space="preserve">ble directions. These </w:t>
      </w:r>
      <w:r w:rsidR="002F6E8A">
        <w:t>sessions helped to identify innovative approaches and provided a foundation for further development in the next phase of the research.</w:t>
      </w:r>
    </w:p>
    <w:p w:rsidR="00BF478A" w:rsidP="009E24AD" w:rsidRDefault="005B651D" w14:paraId="3915963B" w14:textId="6A2AFD3E">
      <w:r>
        <w:t>Following the brainstorm sessions, co-creation sessions were conducted to further devel</w:t>
      </w:r>
      <w:r w:rsidR="008D6E4D">
        <w:t xml:space="preserve">op and refine </w:t>
      </w:r>
      <w:r w:rsidR="00A0385C">
        <w:t xml:space="preserve">the generated ideas. These sessions </w:t>
      </w:r>
      <w:r w:rsidR="003D2DAD">
        <w:t xml:space="preserve">involved collaboration with stakeholders to ensure that the proposed solutions are </w:t>
      </w:r>
      <w:r w:rsidR="0AEB745A">
        <w:t>realistic and</w:t>
      </w:r>
      <w:r w:rsidR="00340F6F">
        <w:t xml:space="preserve"> applicable within </w:t>
      </w:r>
      <w:r w:rsidR="00F10850">
        <w:t xml:space="preserve">the CitizenCity </w:t>
      </w:r>
      <w:r w:rsidR="00757C48">
        <w:t>context. During the co-creation sessions</w:t>
      </w:r>
      <w:r w:rsidR="00BF478A">
        <w:t>:</w:t>
      </w:r>
    </w:p>
    <w:p w:rsidR="00BF478A" w:rsidP="00BF478A" w:rsidRDefault="00BF478A" w14:paraId="74E1EE88" w14:textId="063D9FB9">
      <w:pPr>
        <w:pStyle w:val="ListParagraph"/>
        <w:numPr>
          <w:ilvl w:val="0"/>
          <w:numId w:val="28"/>
        </w:numPr>
      </w:pPr>
      <w:r>
        <w:t xml:space="preserve">Ideas from the </w:t>
      </w:r>
      <w:r w:rsidR="00AF3440">
        <w:t>brainstorm phase were evaluated and prioritized</w:t>
      </w:r>
    </w:p>
    <w:p w:rsidR="00AF3440" w:rsidP="00BF478A" w:rsidRDefault="00AF3440" w14:paraId="7DDCC72B" w14:textId="1976FD82">
      <w:pPr>
        <w:pStyle w:val="ListParagraph"/>
        <w:numPr>
          <w:ilvl w:val="0"/>
          <w:numId w:val="28"/>
        </w:numPr>
      </w:pPr>
      <w:r>
        <w:t xml:space="preserve">Concepts were developed into </w:t>
      </w:r>
      <w:r w:rsidR="002E0D1A">
        <w:t>more concrete solutions</w:t>
      </w:r>
    </w:p>
    <w:p w:rsidR="002E0D1A" w:rsidP="00BF478A" w:rsidRDefault="002E0D1A" w14:paraId="5901791F" w14:textId="781ABA2A">
      <w:pPr>
        <w:pStyle w:val="ListParagraph"/>
        <w:numPr>
          <w:ilvl w:val="0"/>
          <w:numId w:val="28"/>
        </w:numPr>
      </w:pPr>
      <w:r>
        <w:t>Feedback from stakeholders was incorporated</w:t>
      </w:r>
    </w:p>
    <w:p w:rsidR="002E0D1A" w:rsidP="002E0D1A" w:rsidRDefault="002E0D1A" w14:paraId="37E06616" w14:textId="319A0284">
      <w:r>
        <w:t xml:space="preserve">Special </w:t>
      </w:r>
      <w:r w:rsidR="00FE1659">
        <w:t xml:space="preserve">attention was given to addressing issues identified </w:t>
      </w:r>
      <w:r w:rsidR="00DB147A">
        <w:t>in the Business Advice CitizenCity v3 document, such as unclear governance structures and lack of accountability. By involving stakeholders directly in the process, the solutions were aligned with practical needs and constraints.</w:t>
      </w:r>
    </w:p>
    <w:p w:rsidRPr="00724661" w:rsidR="00DB147A" w:rsidP="002E0D1A" w:rsidRDefault="00DB147A" w14:paraId="6CBF610D" w14:textId="68B6A6BF">
      <w:r>
        <w:t>Co-creation ensured that the final outcomes are not only theoretically sound but also feasible and supported by the people involved in the dataspace/</w:t>
      </w:r>
    </w:p>
    <w:p w:rsidR="0070091C" w:rsidP="00ED5BA8" w:rsidRDefault="0070091C" w14:paraId="1F99B7E1" w14:textId="776CA049">
      <w:pPr>
        <w:pStyle w:val="Heading2"/>
        <w:numPr>
          <w:ilvl w:val="1"/>
          <w:numId w:val="11"/>
        </w:numPr>
        <w:rPr>
          <w:rFonts w:cs="Calibri"/>
          <w:bCs/>
        </w:rPr>
      </w:pPr>
      <w:bookmarkStart w:name="_Toc231982056" w:id="25"/>
      <w:r>
        <w:rPr>
          <w:rFonts w:cs="Calibri"/>
          <w:bCs/>
        </w:rPr>
        <w:t>Library</w:t>
      </w:r>
      <w:bookmarkEnd w:id="25"/>
    </w:p>
    <w:p w:rsidRPr="0070091C" w:rsidR="0070091C" w:rsidP="0070091C" w:rsidRDefault="00635349" w14:paraId="7FB8CF94" w14:textId="76381C7F">
      <w:r>
        <w:t>To support the research with theoretical knowledge</w:t>
      </w:r>
      <w:r w:rsidR="004C5F93">
        <w:t xml:space="preserve">, a literature </w:t>
      </w:r>
      <w:r w:rsidR="006323D2">
        <w:t>study was conducted</w:t>
      </w:r>
      <w:r w:rsidR="00510904">
        <w:t xml:space="preserve">. This study focused on understanding </w:t>
      </w:r>
      <w:r w:rsidR="000A0CE5">
        <w:t>existing concepts and frameworks related to dataspaces, data govern</w:t>
      </w:r>
      <w:r w:rsidR="005C6ED5">
        <w:t>ance, and accountability.</w:t>
      </w:r>
    </w:p>
    <w:p w:rsidR="005C6ED5" w:rsidP="0070091C" w:rsidRDefault="005C6ED5" w14:paraId="57F792C0" w14:textId="37194614">
      <w:r>
        <w:t>The literature study explored topics such as:</w:t>
      </w:r>
    </w:p>
    <w:p w:rsidR="005C6ED5" w:rsidP="005C6ED5" w:rsidRDefault="005C6ED5" w14:paraId="6D94BF3D" w14:textId="659ED06A">
      <w:pPr>
        <w:pStyle w:val="ListParagraph"/>
        <w:numPr>
          <w:ilvl w:val="0"/>
          <w:numId w:val="29"/>
        </w:numPr>
      </w:pPr>
      <w:r>
        <w:t>Monitoring and control of data usage</w:t>
      </w:r>
    </w:p>
    <w:p w:rsidR="005C6ED5" w:rsidP="005C6ED5" w:rsidRDefault="005C6ED5" w14:paraId="761A914E" w14:textId="063F6403">
      <w:pPr>
        <w:pStyle w:val="ListParagraph"/>
        <w:numPr>
          <w:ilvl w:val="0"/>
          <w:numId w:val="29"/>
        </w:numPr>
      </w:pPr>
      <w:r>
        <w:t>Transparency and accountability mechanisms</w:t>
      </w:r>
    </w:p>
    <w:p w:rsidR="005C6ED5" w:rsidP="005C6ED5" w:rsidRDefault="005C6ED5" w14:paraId="31BF8E84" w14:textId="3F5FBA9B">
      <w:pPr>
        <w:pStyle w:val="ListParagraph"/>
        <w:numPr>
          <w:ilvl w:val="0"/>
          <w:numId w:val="29"/>
        </w:numPr>
      </w:pPr>
      <w:r>
        <w:t>Governance models within dataspaces</w:t>
      </w:r>
    </w:p>
    <w:p w:rsidR="005C6ED5" w:rsidP="005C6ED5" w:rsidRDefault="005C6ED5" w14:paraId="06FFAD36" w14:textId="5A5C8E81">
      <w:r>
        <w:t xml:space="preserve">Relevant sources include frameworks and guidelines form organizations such as International Data Space Association and GAIA-X, as well as legal requirements </w:t>
      </w:r>
      <w:r w:rsidR="001A67F0">
        <w:t>defined in GDPR</w:t>
      </w:r>
      <w:r w:rsidR="001B6F4A">
        <w:t>.</w:t>
      </w:r>
    </w:p>
    <w:p w:rsidRPr="00AF4BEA" w:rsidR="002D1987" w:rsidP="005C6ED5" w:rsidRDefault="00EE1D06" w14:paraId="0374940E" w14:textId="2170235F">
      <w:pPr>
        <w:rPr>
          <w:lang w:val="nl-NL"/>
        </w:rPr>
      </w:pPr>
      <w:sdt>
        <w:sdtPr>
          <w:id w:val="2106300800"/>
          <w:citation/>
        </w:sdtPr>
        <w:sdtEndPr/>
        <w:sdtContent>
          <w:r w:rsidR="002D1987">
            <w:fldChar w:fldCharType="begin"/>
          </w:r>
          <w:r w:rsidRPr="002D1987" w:rsidR="002D1987">
            <w:rPr>
              <w:lang w:val="nl-NL"/>
            </w:rPr>
            <w:instrText xml:space="preserve"> CITATION Int \l 1033 </w:instrText>
          </w:r>
          <w:r w:rsidR="002D1987">
            <w:fldChar w:fldCharType="separate"/>
          </w:r>
          <w:r w:rsidR="0064576E">
            <w:rPr>
              <w:noProof/>
              <w:lang w:val="nl-NL"/>
            </w:rPr>
            <w:t>(International Data spaces: uitwisselen veilig en makkelijk, n.d.)</w:t>
          </w:r>
          <w:r w:rsidR="002D1987">
            <w:fldChar w:fldCharType="end"/>
          </w:r>
        </w:sdtContent>
      </w:sdt>
    </w:p>
    <w:p w:rsidRPr="00AF4BEA" w:rsidR="002D1987" w:rsidP="005C6ED5" w:rsidRDefault="00EE1D06" w14:paraId="1B6668F0" w14:textId="67E2627A">
      <w:pPr>
        <w:rPr>
          <w:lang w:val="en-GB"/>
        </w:rPr>
      </w:pPr>
      <w:sdt>
        <w:sdtPr>
          <w:rPr>
            <w:lang w:val="nl-NL"/>
          </w:rPr>
          <w:id w:val="257106885"/>
          <w:citation/>
        </w:sdtPr>
        <w:sdtEndPr/>
        <w:sdtContent>
          <w:r w:rsidR="002D1987">
            <w:rPr>
              <w:lang w:val="nl-NL"/>
            </w:rPr>
            <w:fldChar w:fldCharType="begin"/>
          </w:r>
          <w:r w:rsidR="002D1987">
            <w:instrText xml:space="preserve"> CITATION Mic25 \l 1033 </w:instrText>
          </w:r>
          <w:r w:rsidR="002D1987">
            <w:rPr>
              <w:lang w:val="nl-NL"/>
            </w:rPr>
            <w:fldChar w:fldCharType="separate"/>
          </w:r>
          <w:r w:rsidR="0064576E">
            <w:rPr>
              <w:noProof/>
            </w:rPr>
            <w:t>(Aussems, 2025)</w:t>
          </w:r>
          <w:r w:rsidR="002D1987">
            <w:rPr>
              <w:lang w:val="nl-NL"/>
            </w:rPr>
            <w:fldChar w:fldCharType="end"/>
          </w:r>
        </w:sdtContent>
      </w:sdt>
    </w:p>
    <w:p w:rsidRPr="00AF4BEA" w:rsidR="00AA5261" w:rsidP="005C6ED5" w:rsidRDefault="00EE1D06" w14:paraId="1F06C38C" w14:textId="4DFF9B97">
      <w:pPr>
        <w:rPr>
          <w:lang w:val="en-GB"/>
        </w:rPr>
      </w:pPr>
      <w:sdt>
        <w:sdtPr>
          <w:rPr>
            <w:lang w:val="nl-NL"/>
          </w:rPr>
          <w:id w:val="1556818549"/>
          <w:citation/>
        </w:sdtPr>
        <w:sdtEndPr/>
        <w:sdtContent>
          <w:r w:rsidR="00AA5261">
            <w:rPr>
              <w:lang w:val="nl-NL"/>
            </w:rPr>
            <w:fldChar w:fldCharType="begin"/>
          </w:r>
          <w:r w:rsidR="00AA5261">
            <w:instrText xml:space="preserve"> CITATION Gen18 \l 1033 </w:instrText>
          </w:r>
          <w:r w:rsidR="00AA5261">
            <w:rPr>
              <w:lang w:val="nl-NL"/>
            </w:rPr>
            <w:fldChar w:fldCharType="separate"/>
          </w:r>
          <w:r w:rsidR="0064576E">
            <w:rPr>
              <w:noProof/>
            </w:rPr>
            <w:t>(General Data Protection Regulation, 2018)</w:t>
          </w:r>
          <w:r w:rsidR="00AA5261">
            <w:rPr>
              <w:lang w:val="nl-NL"/>
            </w:rPr>
            <w:fldChar w:fldCharType="end"/>
          </w:r>
        </w:sdtContent>
      </w:sdt>
    </w:p>
    <w:p w:rsidRPr="0070091C" w:rsidR="001B6F4A" w:rsidP="005C6ED5" w:rsidRDefault="001B6F4A" w14:paraId="7630DEEE" w14:textId="00DA4203">
      <w:r>
        <w:t>The insights from the literature study were used to build a theore</w:t>
      </w:r>
      <w:r w:rsidR="00C67EE3">
        <w:t xml:space="preserve">tical foundation </w:t>
      </w:r>
      <w:r w:rsidR="008C2B7E">
        <w:t>a</w:t>
      </w:r>
      <w:r w:rsidR="00D10936">
        <w:t>nd to compare existing best practices with</w:t>
      </w:r>
      <w:r w:rsidR="000C05CF">
        <w:t xml:space="preserve"> the current situation in</w:t>
      </w:r>
      <w:r w:rsidR="000704CF">
        <w:t xml:space="preserve"> </w:t>
      </w:r>
      <w:r w:rsidR="00C8627E">
        <w:t>the CitizenCity data</w:t>
      </w:r>
      <w:r w:rsidR="000A0923">
        <w:t>space.</w:t>
      </w:r>
    </w:p>
    <w:p w:rsidR="00724661" w:rsidP="00ED5BA8" w:rsidRDefault="00724661" w14:paraId="6723A090" w14:textId="57940394">
      <w:pPr>
        <w:pStyle w:val="Heading2"/>
        <w:numPr>
          <w:ilvl w:val="1"/>
          <w:numId w:val="11"/>
        </w:numPr>
        <w:rPr>
          <w:rFonts w:cs="Calibri"/>
          <w:bCs/>
        </w:rPr>
      </w:pPr>
      <w:bookmarkStart w:name="_Toc231982057" w:id="26"/>
      <w:r>
        <w:rPr>
          <w:rFonts w:cs="Calibri"/>
          <w:bCs/>
        </w:rPr>
        <w:t>Conclusion</w:t>
      </w:r>
      <w:bookmarkEnd w:id="26"/>
    </w:p>
    <w:p w:rsidRPr="00AF4BEA" w:rsidR="00ED5BA8" w:rsidRDefault="00A62C5A" w14:paraId="557303BB" w14:textId="7FEA5F66">
      <w:pPr>
        <w:rPr>
          <w:rFonts w:cs="Arial"/>
        </w:rPr>
      </w:pPr>
      <w:r w:rsidRPr="3C511EAD">
        <w:rPr>
          <w:rFonts w:cs="Arial"/>
        </w:rPr>
        <w:t xml:space="preserve">This research examined how data usage within the CitizenCity dataspace can be monitored and evaluated to ensure accountability and transparency. The findings show that, while </w:t>
      </w:r>
      <w:r w:rsidRPr="3C511EAD" w:rsidR="00DB2B61">
        <w:rPr>
          <w:rFonts w:cs="Arial"/>
        </w:rPr>
        <w:t xml:space="preserve">there </w:t>
      </w:r>
      <w:proofErr w:type="gramStart"/>
      <w:r w:rsidR="00674893">
        <w:rPr>
          <w:rFonts w:cs="Arial"/>
        </w:rPr>
        <w:t>is</w:t>
      </w:r>
      <w:proofErr w:type="gramEnd"/>
      <w:r w:rsidR="00674893">
        <w:rPr>
          <w:rFonts w:cs="Arial"/>
        </w:rPr>
        <w:t xml:space="preserve"> </w:t>
      </w:r>
      <w:r w:rsidRPr="3C511EAD" w:rsidR="00DB2B61">
        <w:rPr>
          <w:rFonts w:cs="Arial"/>
        </w:rPr>
        <w:t xml:space="preserve">already a structured approach and the use </w:t>
      </w:r>
      <w:r w:rsidRPr="3C511EAD" w:rsidR="002924FC">
        <w:rPr>
          <w:rFonts w:cs="Arial"/>
        </w:rPr>
        <w:t>of standards</w:t>
      </w:r>
      <w:r w:rsidRPr="3C511EAD" w:rsidR="00A80E84">
        <w:rPr>
          <w:rFonts w:cs="Arial"/>
        </w:rPr>
        <w:t xml:space="preserve"> such as </w:t>
      </w:r>
      <w:r w:rsidRPr="3C511EAD" w:rsidR="00F62A1A">
        <w:rPr>
          <w:rFonts w:cs="Arial"/>
        </w:rPr>
        <w:t>GDPR, important gaps remain in prac</w:t>
      </w:r>
      <w:r w:rsidRPr="3C511EAD" w:rsidR="00AE4009">
        <w:rPr>
          <w:rFonts w:cs="Arial"/>
        </w:rPr>
        <w:t xml:space="preserve">tice. These include unclear governance structures, undefined roles and </w:t>
      </w:r>
      <w:r w:rsidRPr="3C511EAD" w:rsidR="003233FA">
        <w:rPr>
          <w:rFonts w:cs="Arial"/>
        </w:rPr>
        <w:t>responsibilities</w:t>
      </w:r>
      <w:r w:rsidRPr="3C511EAD" w:rsidR="00D40B1F">
        <w:rPr>
          <w:rFonts w:cs="Arial"/>
        </w:rPr>
        <w:t>,</w:t>
      </w:r>
      <w:r w:rsidRPr="3C511EAD" w:rsidR="006C786D">
        <w:rPr>
          <w:rFonts w:cs="Arial"/>
        </w:rPr>
        <w:t xml:space="preserve"> which limit both accountability and transparency.</w:t>
      </w:r>
    </w:p>
    <w:p w:rsidRPr="00AF4BEA" w:rsidR="006C786D" w:rsidRDefault="006C786D" w14:paraId="19014D28" w14:textId="4A230AE2">
      <w:pPr>
        <w:rPr>
          <w:rFonts w:cs="Arial"/>
        </w:rPr>
      </w:pPr>
      <w:r w:rsidRPr="00AF4BEA">
        <w:rPr>
          <w:rFonts w:cs="Arial"/>
        </w:rPr>
        <w:t>Data usage can be effectively monitored and evaluated by combining techni</w:t>
      </w:r>
      <w:r w:rsidRPr="00AF4BEA" w:rsidR="00EC1FC6">
        <w:rPr>
          <w:rFonts w:cs="Arial"/>
        </w:rPr>
        <w:t>cal measures</w:t>
      </w:r>
      <w:r w:rsidRPr="00AF4BEA" w:rsidR="004E7442">
        <w:rPr>
          <w:rFonts w:cs="Arial"/>
        </w:rPr>
        <w:t xml:space="preserve"> (such as logging, access control, and auditing), clear governance structures (defining responsibilities and roles), and standardized processes based on existing frameworks like those from International Data Spaces Association and GAIA-X.</w:t>
      </w:r>
    </w:p>
    <w:p w:rsidRPr="00AF4BEA" w:rsidR="004E7442" w:rsidRDefault="004E7442" w14:paraId="75F8B00B" w14:textId="5A74E5EE">
      <w:pPr>
        <w:rPr>
          <w:rFonts w:cs="Arial"/>
        </w:rPr>
      </w:pPr>
      <w:r w:rsidRPr="00AF4BEA">
        <w:rPr>
          <w:rFonts w:cs="Arial"/>
        </w:rPr>
        <w:t>Overall, ensuring accountability and transparency requires a combination of technology, governance, and continuous stakeholder involvement, rather than a single solution.</w:t>
      </w:r>
    </w:p>
    <w:p w:rsidRPr="00DB2B61" w:rsidR="00DF32D8" w:rsidP="00ED5BA8" w:rsidRDefault="00ED5BA8" w14:paraId="63F8F269" w14:textId="5AE7A1C0">
      <w:pPr>
        <w:pStyle w:val="Heading1"/>
        <w:ind w:left="709" w:hanging="709"/>
        <w:rPr>
          <w:rFonts w:cs="Calibri"/>
          <w:szCs w:val="36"/>
          <w:lang w:val="en-US"/>
        </w:rPr>
      </w:pPr>
      <w:bookmarkStart w:name="_Toc231982058" w:id="27"/>
      <w:r w:rsidRPr="00DB2B61">
        <w:rPr>
          <w:rFonts w:cs="Calibri"/>
          <w:szCs w:val="36"/>
          <w:lang w:val="en-US"/>
        </w:rPr>
        <w:t xml:space="preserve">5. </w:t>
      </w:r>
      <w:r w:rsidRPr="00DB2B61" w:rsidR="00DF32D8">
        <w:rPr>
          <w:rFonts w:cs="Calibri"/>
          <w:szCs w:val="36"/>
          <w:lang w:val="en-US"/>
        </w:rPr>
        <w:t>Question 3</w:t>
      </w:r>
      <w:bookmarkEnd w:id="27"/>
    </w:p>
    <w:p w:rsidRPr="001C7335" w:rsidR="00DF32D8" w:rsidP="00DF32D8" w:rsidRDefault="00DF32D8" w14:paraId="6078A1A0" w14:textId="41F633F1">
      <w:pPr>
        <w:rPr>
          <w:rFonts w:cs="Arial"/>
          <w:b/>
          <w:i/>
        </w:rPr>
      </w:pPr>
      <w:r w:rsidRPr="001C7335">
        <w:rPr>
          <w:rFonts w:cs="Arial"/>
          <w:b/>
          <w:i/>
        </w:rPr>
        <w:t>What legal, ethical, and organisational risks may arise from data sharing and usage, and how can these risks be mitigated</w:t>
      </w:r>
      <w:r w:rsidRPr="001C7335">
        <w:rPr>
          <w:rFonts w:cs="Arial"/>
          <w:b/>
          <w:i/>
          <w:lang w:val="en-GB"/>
        </w:rPr>
        <w:t>?</w:t>
      </w:r>
      <w:r w:rsidRPr="001C7335">
        <w:rPr>
          <w:rFonts w:cs="Arial"/>
          <w:b/>
          <w:i/>
        </w:rPr>
        <w:t> </w:t>
      </w:r>
    </w:p>
    <w:tbl>
      <w:tblPr>
        <w:tblStyle w:val="TableGrid"/>
        <w:tblW w:w="11058" w:type="dxa"/>
        <w:tblInd w:w="-998" w:type="dxa"/>
        <w:tblLook w:val="04A0" w:firstRow="1" w:lastRow="0" w:firstColumn="1" w:lastColumn="0" w:noHBand="0" w:noVBand="1"/>
      </w:tblPr>
      <w:tblGrid>
        <w:gridCol w:w="2324"/>
        <w:gridCol w:w="4737"/>
        <w:gridCol w:w="2033"/>
        <w:gridCol w:w="1964"/>
      </w:tblGrid>
      <w:tr w:rsidRPr="00110AFC" w:rsidR="0064576E" w:rsidTr="007E2A4E" w14:paraId="1F8ADA4C" w14:textId="77777777">
        <w:tc>
          <w:tcPr>
            <w:tcW w:w="1407" w:type="dxa"/>
          </w:tcPr>
          <w:p w:rsidRPr="001C7335" w:rsidR="00DF32D8" w:rsidP="007E2A4E" w:rsidRDefault="00DF32D8" w14:paraId="0EDD5E28" w14:textId="77777777">
            <w:pPr>
              <w:rPr>
                <w:rFonts w:cs="Arial"/>
                <w:b/>
              </w:rPr>
            </w:pPr>
            <w:r w:rsidRPr="001C7335">
              <w:rPr>
                <w:rFonts w:cs="Arial"/>
                <w:b/>
              </w:rPr>
              <w:t>Research Strategies</w:t>
            </w:r>
          </w:p>
        </w:tc>
        <w:tc>
          <w:tcPr>
            <w:tcW w:w="5682" w:type="dxa"/>
          </w:tcPr>
          <w:p w:rsidRPr="001C7335" w:rsidR="00DF32D8" w:rsidP="007E2A4E" w:rsidRDefault="00DF32D8" w14:paraId="5D71CEA4" w14:textId="77777777">
            <w:pPr>
              <w:rPr>
                <w:rFonts w:cs="Arial"/>
                <w:b/>
              </w:rPr>
            </w:pPr>
            <w:r w:rsidRPr="001C7335">
              <w:rPr>
                <w:rFonts w:cs="Arial"/>
                <w:b/>
              </w:rPr>
              <w:t>How are the Strategies Applied</w:t>
            </w:r>
          </w:p>
        </w:tc>
        <w:tc>
          <w:tcPr>
            <w:tcW w:w="2261" w:type="dxa"/>
          </w:tcPr>
          <w:p w:rsidRPr="001C7335" w:rsidR="00DF32D8" w:rsidP="007E2A4E" w:rsidRDefault="00DF32D8" w14:paraId="72114690" w14:textId="77777777">
            <w:pPr>
              <w:rPr>
                <w:rFonts w:cs="Arial"/>
                <w:b/>
              </w:rPr>
            </w:pPr>
            <w:r w:rsidRPr="001C7335">
              <w:rPr>
                <w:rFonts w:cs="Arial"/>
                <w:b/>
              </w:rPr>
              <w:t>Validation</w:t>
            </w:r>
          </w:p>
        </w:tc>
        <w:tc>
          <w:tcPr>
            <w:tcW w:w="1708" w:type="dxa"/>
          </w:tcPr>
          <w:p w:rsidRPr="001C7335" w:rsidR="00DF32D8" w:rsidP="007E2A4E" w:rsidRDefault="00DF32D8" w14:paraId="1BCCEC1D" w14:textId="77777777">
            <w:pPr>
              <w:rPr>
                <w:rFonts w:cs="Arial"/>
                <w:b/>
              </w:rPr>
            </w:pPr>
            <w:proofErr w:type="gramStart"/>
            <w:r w:rsidRPr="001C7335">
              <w:rPr>
                <w:rFonts w:cs="Arial"/>
                <w:b/>
              </w:rPr>
              <w:t>Stepping Stones</w:t>
            </w:r>
            <w:proofErr w:type="gramEnd"/>
          </w:p>
        </w:tc>
      </w:tr>
      <w:tr w:rsidRPr="00110AFC" w:rsidR="0064576E" w:rsidTr="007E2A4E" w14:paraId="4C2302B7" w14:textId="77777777">
        <w:trPr>
          <w:trHeight w:val="5755"/>
        </w:trPr>
        <w:tc>
          <w:tcPr>
            <w:tcW w:w="1407" w:type="dxa"/>
          </w:tcPr>
          <w:p w:rsidRPr="001C7335" w:rsidR="008B7568" w:rsidP="008B7568" w:rsidRDefault="008B7568" w14:paraId="54EAC168" w14:textId="77777777">
            <w:pPr>
              <w:rPr>
                <w:rFonts w:cs="Arial"/>
              </w:rPr>
            </w:pPr>
            <w:r w:rsidRPr="001C7335">
              <w:rPr>
                <w:rFonts w:cs="Arial"/>
                <w:lang w:val="en-GB"/>
              </w:rPr>
              <w:t>Library – Best good and bad practices, Literature study</w:t>
            </w:r>
            <w:r w:rsidRPr="001C7335">
              <w:rPr>
                <w:rFonts w:cs="Arial"/>
              </w:rPr>
              <w:t> </w:t>
            </w:r>
          </w:p>
          <w:p w:rsidRPr="001C7335" w:rsidR="008B7568" w:rsidP="008B7568" w:rsidRDefault="008B7568" w14:paraId="28874C3A" w14:textId="77777777">
            <w:pPr>
              <w:rPr>
                <w:rFonts w:cs="Arial"/>
              </w:rPr>
            </w:pPr>
          </w:p>
          <w:p w:rsidRPr="001C7335" w:rsidR="007E2A4E" w:rsidP="008B7568" w:rsidRDefault="007E2A4E" w14:paraId="6122DC0E" w14:textId="14B8B902">
            <w:pPr>
              <w:rPr>
                <w:rFonts w:cs="Arial"/>
              </w:rPr>
            </w:pPr>
            <w:r w:rsidRPr="001C7335">
              <w:rPr>
                <w:rFonts w:cs="Arial"/>
                <w:noProof/>
              </w:rPr>
              <w:drawing>
                <wp:inline distT="0" distB="0" distL="0" distR="0" wp14:anchorId="0D9E33B5" wp14:editId="09326027">
                  <wp:extent cx="476885" cy="461010"/>
                  <wp:effectExtent l="0" t="0" r="0" b="0"/>
                  <wp:docPr id="1313384714" name="Picture 1" descr="libr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brary"/>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6885" cy="461010"/>
                          </a:xfrm>
                          <a:prstGeom prst="rect">
                            <a:avLst/>
                          </a:prstGeom>
                          <a:noFill/>
                          <a:ln>
                            <a:noFill/>
                          </a:ln>
                        </pic:spPr>
                      </pic:pic>
                    </a:graphicData>
                  </a:graphic>
                </wp:inline>
              </w:drawing>
            </w:r>
          </w:p>
          <w:p w:rsidRPr="001C7335" w:rsidR="007E2A4E" w:rsidP="008B7568" w:rsidRDefault="007E2A4E" w14:paraId="4CA29847" w14:textId="77777777">
            <w:pPr>
              <w:rPr>
                <w:rFonts w:cs="Arial"/>
              </w:rPr>
            </w:pPr>
          </w:p>
          <w:p w:rsidRPr="001C7335" w:rsidR="008B7568" w:rsidP="008B7568" w:rsidRDefault="008B7568" w14:paraId="4D0A87C0" w14:textId="19785CBC">
            <w:pPr>
              <w:rPr>
                <w:rFonts w:cs="Arial"/>
              </w:rPr>
            </w:pPr>
            <w:r w:rsidRPr="006E4AD9">
              <w:rPr>
                <w:rFonts w:cs="Arial"/>
                <w:lang w:val="en-GB"/>
              </w:rPr>
              <w:t>Field –</w:t>
            </w:r>
            <w:r w:rsidR="007100A6">
              <w:rPr>
                <w:rFonts w:cs="Arial"/>
                <w:lang w:val="en-GB"/>
              </w:rPr>
              <w:t xml:space="preserve"> </w:t>
            </w:r>
            <w:r w:rsidRPr="006E4AD9">
              <w:rPr>
                <w:rFonts w:cs="Arial"/>
                <w:lang w:val="en-GB"/>
              </w:rPr>
              <w:t>Stakeholder Analysis</w:t>
            </w:r>
            <w:r w:rsidRPr="001C7335">
              <w:rPr>
                <w:rFonts w:cs="Arial"/>
              </w:rPr>
              <w:t> </w:t>
            </w:r>
          </w:p>
          <w:p w:rsidRPr="001C7335" w:rsidR="007E2A4E" w:rsidP="008B7568" w:rsidRDefault="007E2A4E" w14:paraId="235935AA" w14:textId="77777777">
            <w:pPr>
              <w:rPr>
                <w:rFonts w:cs="Arial"/>
              </w:rPr>
            </w:pPr>
          </w:p>
          <w:p w:rsidRPr="001C7335" w:rsidR="007E2A4E" w:rsidP="008B7568" w:rsidRDefault="007E2A4E" w14:paraId="1CDA0807" w14:textId="7372AC70">
            <w:pPr>
              <w:rPr>
                <w:rFonts w:cs="Arial"/>
              </w:rPr>
            </w:pPr>
            <w:r w:rsidRPr="001C7335">
              <w:rPr>
                <w:rFonts w:cs="Arial"/>
                <w:noProof/>
              </w:rPr>
              <w:drawing>
                <wp:inline distT="0" distB="0" distL="0" distR="0" wp14:anchorId="114E31DC" wp14:editId="7FDB916C">
                  <wp:extent cx="476885" cy="476885"/>
                  <wp:effectExtent l="0" t="0" r="0" b="0"/>
                  <wp:docPr id="901684327" name="Picture 5" descr="fi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iel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76885" cy="476885"/>
                          </a:xfrm>
                          <a:prstGeom prst="rect">
                            <a:avLst/>
                          </a:prstGeom>
                          <a:noFill/>
                          <a:ln>
                            <a:noFill/>
                          </a:ln>
                        </pic:spPr>
                      </pic:pic>
                    </a:graphicData>
                  </a:graphic>
                </wp:inline>
              </w:drawing>
            </w:r>
          </w:p>
          <w:p w:rsidRPr="001C7335" w:rsidR="008B7568" w:rsidP="008B7568" w:rsidRDefault="008B7568" w14:paraId="09A83A6E" w14:textId="77777777">
            <w:pPr>
              <w:rPr>
                <w:rFonts w:cs="Arial"/>
              </w:rPr>
            </w:pPr>
          </w:p>
          <w:p w:rsidRPr="001C7335" w:rsidR="007E2A4E" w:rsidP="008B7568" w:rsidRDefault="00925DED" w14:paraId="64DFB2EF" w14:textId="10DCCD89">
            <w:pPr>
              <w:rPr>
                <w:rFonts w:cs="Arial"/>
                <w:lang w:val="en-GB"/>
              </w:rPr>
            </w:pPr>
            <w:r w:rsidRPr="00782DBC">
              <w:rPr>
                <w:rFonts w:cs="Arial"/>
                <w:lang w:val="en-GB"/>
              </w:rPr>
              <w:t>Showroom</w:t>
            </w:r>
            <w:r w:rsidRPr="00782DBC" w:rsidR="008B7568">
              <w:rPr>
                <w:rFonts w:cs="Arial"/>
                <w:lang w:val="en-GB"/>
              </w:rPr>
              <w:t xml:space="preserve"> – </w:t>
            </w:r>
            <w:r w:rsidR="00782DBC">
              <w:rPr>
                <w:rFonts w:cs="Arial"/>
                <w:lang w:val="en-GB"/>
              </w:rPr>
              <w:t>Guideline conformity analysis</w:t>
            </w:r>
          </w:p>
          <w:p w:rsidRPr="001C7335" w:rsidR="007E2A4E" w:rsidP="008B7568" w:rsidRDefault="007E2A4E" w14:paraId="5D64AC32" w14:textId="77777777">
            <w:pPr>
              <w:rPr>
                <w:rFonts w:cs="Arial"/>
                <w:lang w:val="en-GB"/>
              </w:rPr>
            </w:pPr>
          </w:p>
          <w:p w:rsidRPr="001C7335" w:rsidR="00DF32D8" w:rsidP="007E2A4E" w:rsidRDefault="008B7568" w14:paraId="2039263A" w14:textId="19ED6A9A">
            <w:pPr>
              <w:rPr>
                <w:rFonts w:cs="Arial"/>
              </w:rPr>
            </w:pPr>
            <w:r w:rsidRPr="001C7335">
              <w:rPr>
                <w:rFonts w:cs="Arial"/>
              </w:rPr>
              <w:t> </w:t>
            </w:r>
            <w:r w:rsidR="00E24737">
              <w:rPr>
                <w:noProof/>
              </w:rPr>
              <w:drawing>
                <wp:inline distT="0" distB="0" distL="0" distR="0" wp14:anchorId="441F502A" wp14:editId="00533A45">
                  <wp:extent cx="476885" cy="476885"/>
                  <wp:effectExtent l="0" t="0" r="0" b="0"/>
                  <wp:docPr id="101502111" name="Picture 2" descr="show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howroom"/>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6885" cy="476885"/>
                          </a:xfrm>
                          <a:prstGeom prst="rect">
                            <a:avLst/>
                          </a:prstGeom>
                          <a:noFill/>
                          <a:ln>
                            <a:noFill/>
                          </a:ln>
                        </pic:spPr>
                      </pic:pic>
                    </a:graphicData>
                  </a:graphic>
                </wp:inline>
              </w:drawing>
            </w:r>
          </w:p>
        </w:tc>
        <w:tc>
          <w:tcPr>
            <w:tcW w:w="5682" w:type="dxa"/>
          </w:tcPr>
          <w:p w:rsidR="00DF32D8" w:rsidP="007E2A4E" w:rsidRDefault="00DD2215" w14:paraId="585F3271" w14:textId="77777777">
            <w:pPr>
              <w:rPr>
                <w:rFonts w:cs="Arial"/>
                <w:lang w:val="en-GB"/>
              </w:rPr>
            </w:pPr>
            <w:r w:rsidRPr="001C7335">
              <w:rPr>
                <w:rFonts w:cs="Arial"/>
                <w:lang w:val="en-GB"/>
              </w:rPr>
              <w:t>Literature study and best good and bad practices analysis will identify already known risks that could arise when working in a collaborative data-sharing environment. Stakeholder analysis and problem analysis will map context-specific vulnerabilities (risks). </w:t>
            </w:r>
          </w:p>
          <w:p w:rsidR="00F01920" w:rsidP="007E2A4E" w:rsidRDefault="00F01920" w14:paraId="58843012" w14:textId="77777777">
            <w:pPr>
              <w:rPr>
                <w:rFonts w:cs="Arial"/>
                <w:lang w:val="en-GB"/>
              </w:rPr>
            </w:pPr>
          </w:p>
          <w:p w:rsidRPr="00843D76" w:rsidR="00843D76" w:rsidP="00843D76" w:rsidRDefault="00843D76" w14:paraId="5B236C26" w14:textId="2FB3021B">
            <w:pPr>
              <w:rPr>
                <w:rFonts w:cs="Arial"/>
                <w:lang w:val="en-GB"/>
              </w:rPr>
            </w:pPr>
            <w:r w:rsidRPr="00843D76">
              <w:rPr>
                <w:rFonts w:cs="Arial"/>
                <w:lang w:val="en-GB"/>
              </w:rPr>
              <w:t xml:space="preserve">To make the risks more </w:t>
            </w:r>
            <w:r w:rsidR="00462B16">
              <w:rPr>
                <w:rFonts w:cs="Arial"/>
                <w:lang w:val="en-GB"/>
              </w:rPr>
              <w:t>specific for each stakeholder,</w:t>
            </w:r>
            <w:r w:rsidRPr="00843D76">
              <w:rPr>
                <w:rFonts w:cs="Arial"/>
                <w:lang w:val="en-GB"/>
              </w:rPr>
              <w:t xml:space="preserve"> a stakeholder analysis will be conducted</w:t>
            </w:r>
            <w:r>
              <w:rPr>
                <w:rFonts w:cs="Arial"/>
                <w:lang w:val="en-GB"/>
              </w:rPr>
              <w:t xml:space="preserve">. </w:t>
            </w:r>
            <w:r w:rsidRPr="00843D76">
              <w:rPr>
                <w:rFonts w:cs="Arial"/>
                <w:lang w:val="en-GB"/>
              </w:rPr>
              <w:t xml:space="preserve">By mapping each </w:t>
            </w:r>
            <w:proofErr w:type="gramStart"/>
            <w:r w:rsidRPr="00843D76">
              <w:rPr>
                <w:rFonts w:cs="Arial"/>
                <w:lang w:val="en-GB"/>
              </w:rPr>
              <w:t>stakeholder</w:t>
            </w:r>
            <w:proofErr w:type="gramEnd"/>
            <w:r w:rsidRPr="00843D76">
              <w:rPr>
                <w:rFonts w:cs="Arial"/>
                <w:lang w:val="en-GB"/>
              </w:rPr>
              <w:t xml:space="preserve"> </w:t>
            </w:r>
            <w:r w:rsidR="007E6CB8">
              <w:rPr>
                <w:rFonts w:cs="Arial"/>
                <w:lang w:val="en-GB"/>
              </w:rPr>
              <w:t>it will become clearer what stakehol</w:t>
            </w:r>
            <w:r w:rsidR="0072206E">
              <w:rPr>
                <w:rFonts w:cs="Arial"/>
                <w:lang w:val="en-GB"/>
              </w:rPr>
              <w:t>ders there are for the CitizenCity project and</w:t>
            </w:r>
            <w:r w:rsidRPr="00843D76">
              <w:rPr>
                <w:rFonts w:cs="Arial"/>
                <w:lang w:val="en-GB"/>
              </w:rPr>
              <w:t xml:space="preserve"> where specific risks are concentrated.</w:t>
            </w:r>
          </w:p>
          <w:p w:rsidR="0072206E" w:rsidP="00843D76" w:rsidRDefault="0072206E" w14:paraId="78F8E324" w14:textId="7F3BF43B">
            <w:pPr>
              <w:rPr>
                <w:rFonts w:cs="Arial"/>
                <w:b/>
                <w:bCs/>
                <w:lang w:val="en-GB"/>
              </w:rPr>
            </w:pPr>
          </w:p>
          <w:p w:rsidRPr="00843D76" w:rsidR="00843D76" w:rsidP="00843D76" w:rsidRDefault="00843D76" w14:paraId="7F2EC726" w14:textId="5D3CF69A">
            <w:pPr>
              <w:rPr>
                <w:rFonts w:cs="Arial"/>
                <w:lang w:val="en-GB"/>
              </w:rPr>
            </w:pPr>
            <w:r w:rsidRPr="00843D76">
              <w:rPr>
                <w:rFonts w:cs="Arial"/>
                <w:lang w:val="en-GB"/>
              </w:rPr>
              <w:t xml:space="preserve">To assess how well the current situation aligns with relevant standards, the identified risks will be compared against four frameworks: GDPR, the Data Governance Act, the DS4SSCC Blueprint, and FRAIA. </w:t>
            </w:r>
            <w:r w:rsidR="00FA797C">
              <w:rPr>
                <w:rFonts w:cs="Arial"/>
                <w:lang w:val="en-GB"/>
              </w:rPr>
              <w:t xml:space="preserve">The outcome will be an </w:t>
            </w:r>
            <w:r w:rsidRPr="00843D76">
              <w:rPr>
                <w:rFonts w:cs="Arial"/>
                <w:lang w:val="en-GB"/>
              </w:rPr>
              <w:t>overview of where the governance framework currently falls short and which gaps need to be addressed.</w:t>
            </w:r>
          </w:p>
          <w:p w:rsidRPr="00843D76" w:rsidR="00F01920" w:rsidP="007E2A4E" w:rsidRDefault="00F01920" w14:paraId="4B7C53E4" w14:textId="4363AFF2">
            <w:pPr>
              <w:rPr>
                <w:rFonts w:cs="Arial"/>
                <w:lang w:val="en-GB"/>
              </w:rPr>
            </w:pPr>
          </w:p>
        </w:tc>
        <w:tc>
          <w:tcPr>
            <w:tcW w:w="2261" w:type="dxa"/>
          </w:tcPr>
          <w:p w:rsidRPr="001C7335" w:rsidR="00DF32D8" w:rsidP="007E2A4E" w:rsidRDefault="00DD2215" w14:paraId="7BAB1CFA" w14:textId="478C6846">
            <w:pPr>
              <w:rPr>
                <w:rFonts w:cs="Arial"/>
              </w:rPr>
            </w:pPr>
            <w:r w:rsidRPr="001C7335">
              <w:rPr>
                <w:rFonts w:cs="Arial"/>
                <w:lang w:val="en-GB"/>
              </w:rPr>
              <w:t>Stakeholder validation of identified risks and mitigation measures</w:t>
            </w:r>
            <w:r w:rsidRPr="001C7335">
              <w:rPr>
                <w:rFonts w:cs="Arial"/>
              </w:rPr>
              <w:t> </w:t>
            </w:r>
          </w:p>
        </w:tc>
        <w:tc>
          <w:tcPr>
            <w:tcW w:w="1708" w:type="dxa"/>
          </w:tcPr>
          <w:p w:rsidRPr="001C7335" w:rsidR="00DF32D8" w:rsidP="007E2A4E" w:rsidRDefault="0029335C" w14:paraId="6E83AA23" w14:textId="0CFD1054">
            <w:pPr>
              <w:rPr>
                <w:rFonts w:cs="Arial"/>
              </w:rPr>
            </w:pPr>
            <w:r w:rsidRPr="001C7335">
              <w:rPr>
                <w:rFonts w:cs="Arial"/>
              </w:rPr>
              <w:t xml:space="preserve">Comprehensive, </w:t>
            </w:r>
            <w:r w:rsidRPr="001C7335" w:rsidR="00AE7B6F">
              <w:rPr>
                <w:rFonts w:cs="Arial"/>
              </w:rPr>
              <w:t>thorough, and detailed risk analysis proposed governance measures for risk mitigation</w:t>
            </w:r>
          </w:p>
        </w:tc>
      </w:tr>
    </w:tbl>
    <w:p w:rsidR="00DF32D8" w:rsidRDefault="00DF32D8" w14:paraId="2EE6B6A0" w14:textId="77777777">
      <w:pPr>
        <w:rPr>
          <w:rFonts w:ascii="Calibri" w:hAnsi="Calibri" w:cs="Calibri"/>
        </w:rPr>
      </w:pPr>
    </w:p>
    <w:p w:rsidR="00DF32D8" w:rsidRDefault="00C0075D" w14:paraId="62696911" w14:textId="575FD37F">
      <w:pPr>
        <w:rPr>
          <w:rFonts w:ascii="Calibri" w:hAnsi="Calibri" w:cs="Calibri"/>
        </w:rPr>
      </w:pPr>
      <w:r>
        <w:rPr>
          <w:rFonts w:ascii="Calibri" w:hAnsi="Calibri" w:cs="Calibri"/>
        </w:rPr>
        <w:br w:type="page"/>
      </w:r>
    </w:p>
    <w:p w:rsidR="007628B0" w:rsidP="00ED5BA8" w:rsidRDefault="00411A6C" w14:paraId="7E63AA54" w14:textId="7D22E874">
      <w:pPr>
        <w:pStyle w:val="Heading2"/>
        <w:numPr>
          <w:ilvl w:val="1"/>
          <w:numId w:val="12"/>
        </w:numPr>
        <w:rPr>
          <w:rFonts w:cs="Calibri"/>
          <w:bCs/>
        </w:rPr>
      </w:pPr>
      <w:bookmarkStart w:name="_Toc231982059" w:id="28"/>
      <w:r>
        <w:rPr>
          <w:rFonts w:cs="Calibri"/>
          <w:bCs/>
        </w:rPr>
        <w:t>Library</w:t>
      </w:r>
      <w:bookmarkEnd w:id="28"/>
    </w:p>
    <w:p w:rsidR="00C33C97" w:rsidP="009310BB" w:rsidRDefault="00C33C97" w14:paraId="3BD818F8" w14:textId="622994A3">
      <w:pPr>
        <w:pStyle w:val="Heading3"/>
        <w:framePr w:wrap="around"/>
      </w:pPr>
      <w:bookmarkStart w:name="_Toc231982060" w:id="29"/>
      <w:r w:rsidRPr="00C33C97">
        <w:t>Literature Study</w:t>
      </w:r>
      <w:bookmarkEnd w:id="29"/>
    </w:p>
    <w:p w:rsidR="009310BB" w:rsidP="009310BB" w:rsidRDefault="009310BB" w14:paraId="67C61C38" w14:textId="77777777">
      <w:pPr>
        <w:rPr>
          <w:b/>
          <w:bCs/>
        </w:rPr>
      </w:pPr>
    </w:p>
    <w:p w:rsidRPr="00500A92" w:rsidR="00500A92" w:rsidP="00500A92" w:rsidRDefault="00500A92" w14:paraId="433049D2" w14:textId="46B57BFA">
      <w:pPr>
        <w:rPr>
          <w:b/>
          <w:bCs/>
          <w:lang w:val="nl-NL"/>
        </w:rPr>
      </w:pPr>
    </w:p>
    <w:p w:rsidRPr="00500A92" w:rsidR="00500A92" w:rsidP="00500A92" w:rsidRDefault="00500A92" w14:paraId="2E8CC54C" w14:textId="77777777">
      <w:pPr>
        <w:rPr>
          <w:lang w:val="en-GB"/>
        </w:rPr>
      </w:pPr>
      <w:r w:rsidRPr="00500A92">
        <w:rPr>
          <w:lang w:val="en-GB"/>
        </w:rPr>
        <w:t>Sub-question 3 looks at the risks that arise when sharing and using data in the</w:t>
      </w:r>
      <w:r w:rsidRPr="00500A92">
        <w:rPr>
          <w:b/>
          <w:bCs/>
          <w:lang w:val="en-GB"/>
        </w:rPr>
        <w:t xml:space="preserve"> </w:t>
      </w:r>
      <w:r w:rsidRPr="00500A92">
        <w:rPr>
          <w:lang w:val="en-GB"/>
        </w:rPr>
        <w:t>Inzicht Verlicht dataspace, and how these risks can be reduced. This is important because even well-intentioned smart city projects can lead to privacy issues, misuse of data or legal liability if risks are not properly managed.</w:t>
      </w:r>
    </w:p>
    <w:p w:rsidRPr="00500A92" w:rsidR="00500A92" w:rsidP="00500A92" w:rsidRDefault="00500A92" w14:paraId="6979BD70" w14:textId="77777777">
      <w:pPr>
        <w:rPr>
          <w:lang w:val="en-GB"/>
        </w:rPr>
      </w:pPr>
      <w:r w:rsidRPr="00500A92">
        <w:rPr>
          <w:lang w:val="en-GB"/>
        </w:rPr>
        <w:t>The Inzicht Verlicht dataspace collects traffic and air quality data on the J.F. Kennedylaan in Eindhoven. While the technical infrastructure is already in place, there are still no clear agreements about how the data should be shared, used and protected. This is exactly when risks are the greatest: the data exists, but the rules are not yet clearly defined.</w:t>
      </w:r>
    </w:p>
    <w:p w:rsidRPr="00500A92" w:rsidR="00500A92" w:rsidP="00500A92" w:rsidRDefault="00500A92" w14:paraId="123FA6FD" w14:textId="19F9F319">
      <w:pPr>
        <w:rPr>
          <w:lang w:val="en-GB"/>
        </w:rPr>
      </w:pPr>
      <w:r w:rsidRPr="00500A92">
        <w:rPr>
          <w:lang w:val="en-GB"/>
        </w:rPr>
        <w:t>This section discusses three types of risks: legal, ethical and organisational. These risks are closely connected and often reinforce each other when governance is not properly arranged.</w:t>
      </w:r>
    </w:p>
    <w:p w:rsidRPr="00500A92" w:rsidR="00500A92" w:rsidP="00500A92" w:rsidRDefault="00500A92" w14:paraId="2EF5FDF8" w14:textId="77777777">
      <w:pPr>
        <w:rPr>
          <w:b/>
          <w:bCs/>
          <w:lang w:val="en-GB"/>
        </w:rPr>
      </w:pPr>
      <w:r w:rsidRPr="00500A92">
        <w:rPr>
          <w:b/>
          <w:bCs/>
          <w:lang w:val="en-GB"/>
        </w:rPr>
        <w:t>Legal risks</w:t>
      </w:r>
    </w:p>
    <w:p w:rsidRPr="00500A92" w:rsidR="00500A92" w:rsidP="00500A92" w:rsidRDefault="00500A92" w14:paraId="2E1CE691" w14:textId="77777777">
      <w:pPr>
        <w:rPr>
          <w:i/>
          <w:iCs/>
          <w:u w:val="single"/>
          <w:lang w:val="en-GB"/>
        </w:rPr>
      </w:pPr>
      <w:r w:rsidRPr="00500A92">
        <w:rPr>
          <w:i/>
          <w:iCs/>
          <w:u w:val="single"/>
          <w:lang w:val="en-GB"/>
        </w:rPr>
        <w:t>GDPR compliance and legal basis</w:t>
      </w:r>
    </w:p>
    <w:p w:rsidRPr="00500A92" w:rsidR="00500A92" w:rsidP="00500A92" w:rsidRDefault="00500A92" w14:paraId="25C6097E" w14:textId="77777777">
      <w:pPr>
        <w:rPr>
          <w:lang w:val="en-GB"/>
        </w:rPr>
      </w:pPr>
      <w:r w:rsidRPr="00500A92">
        <w:rPr>
          <w:lang w:val="en-GB"/>
        </w:rPr>
        <w:t>The General Data Protection Regulation (GDPR) is the most important law for handling personal data in Europe. It requires that personal data is processed lawfully, fairly and transparently (Art. 5 GDPR, 2021; Wolford, 2025), and only for specific and legitimate purposes (purpose limitation).</w:t>
      </w:r>
    </w:p>
    <w:p w:rsidRPr="00500A92" w:rsidR="00500A92" w:rsidP="00500A92" w:rsidRDefault="00500A92" w14:paraId="3966DED2" w14:textId="77777777">
      <w:pPr>
        <w:rPr>
          <w:lang w:val="nl-NL"/>
        </w:rPr>
      </w:pPr>
      <w:r w:rsidRPr="00500A92">
        <w:rPr>
          <w:lang w:val="nl-NL"/>
        </w:rPr>
        <w:t>This means that:</w:t>
      </w:r>
    </w:p>
    <w:p w:rsidRPr="00500A92" w:rsidR="00500A92" w:rsidP="00500A92" w:rsidRDefault="00E049D1" w14:paraId="3A7EF309" w14:textId="60F9606A">
      <w:pPr>
        <w:numPr>
          <w:ilvl w:val="0"/>
          <w:numId w:val="35"/>
        </w:numPr>
        <w:rPr>
          <w:lang w:val="en-GB"/>
        </w:rPr>
      </w:pPr>
      <w:r>
        <w:rPr>
          <w:lang w:val="en-GB"/>
        </w:rPr>
        <w:t>D</w:t>
      </w:r>
      <w:r w:rsidRPr="00500A92" w:rsidR="00500A92">
        <w:rPr>
          <w:lang w:val="en-GB"/>
        </w:rPr>
        <w:t xml:space="preserve">ata must have a valid legal basis (e.g. consent or legal obligation) </w:t>
      </w:r>
    </w:p>
    <w:p w:rsidRPr="00500A92" w:rsidR="00500A92" w:rsidP="00500A92" w:rsidRDefault="00E049D1" w14:paraId="333E6475" w14:textId="1802154D">
      <w:pPr>
        <w:numPr>
          <w:ilvl w:val="0"/>
          <w:numId w:val="35"/>
        </w:numPr>
        <w:rPr>
          <w:lang w:val="en-GB"/>
        </w:rPr>
      </w:pPr>
      <w:r>
        <w:rPr>
          <w:lang w:val="en-GB"/>
        </w:rPr>
        <w:t>D</w:t>
      </w:r>
      <w:r w:rsidRPr="00500A92" w:rsidR="00500A92">
        <w:rPr>
          <w:lang w:val="en-GB"/>
        </w:rPr>
        <w:t xml:space="preserve">ata cannot be reused for unrelated purposes </w:t>
      </w:r>
    </w:p>
    <w:p w:rsidRPr="00500A92" w:rsidR="00500A92" w:rsidP="00500A92" w:rsidRDefault="00E049D1" w14:paraId="7BA09B37" w14:textId="1A79AF50">
      <w:pPr>
        <w:numPr>
          <w:ilvl w:val="0"/>
          <w:numId w:val="35"/>
        </w:numPr>
        <w:rPr>
          <w:lang w:val="en-GB"/>
        </w:rPr>
      </w:pPr>
      <w:r>
        <w:rPr>
          <w:lang w:val="en-GB"/>
        </w:rPr>
        <w:t>C</w:t>
      </w:r>
      <w:r w:rsidRPr="00500A92" w:rsidR="00500A92">
        <w:rPr>
          <w:lang w:val="en-GB"/>
        </w:rPr>
        <w:t xml:space="preserve">itizens must be informed about how their data is used </w:t>
      </w:r>
    </w:p>
    <w:p w:rsidRPr="00500A92" w:rsidR="00500A92" w:rsidP="00500A92" w:rsidRDefault="00500A92" w14:paraId="5B6F8E75" w14:textId="77777777">
      <w:pPr>
        <w:rPr>
          <w:lang w:val="nl-NL"/>
        </w:rPr>
      </w:pPr>
      <w:r w:rsidRPr="00500A92">
        <w:rPr>
          <w:lang w:val="en-GB"/>
        </w:rPr>
        <w:t xml:space="preserve">In the Inzicht Verlicht dataspace, sensors collect traffic and environmental data. While this may seem non-personal, camera images or license plate data can indirectly reveal personal information such as movement patterns. </w:t>
      </w:r>
      <w:r w:rsidRPr="00500A92">
        <w:rPr>
          <w:lang w:val="nl-NL"/>
        </w:rPr>
        <w:t>This creates a risk of violating GDPR principles if:</w:t>
      </w:r>
    </w:p>
    <w:p w:rsidRPr="00500A92" w:rsidR="00500A92" w:rsidP="00500A92" w:rsidRDefault="00E049D1" w14:paraId="61B8F38C" w14:textId="51217256">
      <w:pPr>
        <w:numPr>
          <w:ilvl w:val="0"/>
          <w:numId w:val="36"/>
        </w:numPr>
        <w:rPr>
          <w:lang w:val="nl-NL"/>
        </w:rPr>
      </w:pPr>
      <w:r w:rsidRPr="00500A92">
        <w:rPr>
          <w:lang w:val="nl-NL"/>
        </w:rPr>
        <w:t>No</w:t>
      </w:r>
      <w:r w:rsidRPr="00500A92" w:rsidR="00500A92">
        <w:rPr>
          <w:lang w:val="nl-NL"/>
        </w:rPr>
        <w:t xml:space="preserve"> legal basis is defined </w:t>
      </w:r>
    </w:p>
    <w:p w:rsidRPr="00500A92" w:rsidR="00500A92" w:rsidP="00500A92" w:rsidRDefault="00E049D1" w14:paraId="0F6421EC" w14:textId="3623B67A">
      <w:pPr>
        <w:numPr>
          <w:ilvl w:val="0"/>
          <w:numId w:val="36"/>
        </w:numPr>
        <w:rPr>
          <w:lang w:val="nl-NL"/>
        </w:rPr>
      </w:pPr>
      <w:r>
        <w:rPr>
          <w:lang w:val="nl-NL"/>
        </w:rPr>
        <w:t>T</w:t>
      </w:r>
      <w:r w:rsidRPr="00500A92" w:rsidR="00500A92">
        <w:rPr>
          <w:lang w:val="nl-NL"/>
        </w:rPr>
        <w:t xml:space="preserve">ransparency towards citizens is lacking </w:t>
      </w:r>
    </w:p>
    <w:p w:rsidRPr="00500A92" w:rsidR="00500A92" w:rsidP="00500A92" w:rsidRDefault="00E049D1" w14:paraId="0F7608F8" w14:textId="3C608761">
      <w:pPr>
        <w:numPr>
          <w:ilvl w:val="0"/>
          <w:numId w:val="36"/>
        </w:numPr>
        <w:rPr>
          <w:lang w:val="en-GB"/>
        </w:rPr>
      </w:pPr>
      <w:r>
        <w:rPr>
          <w:lang w:val="en-GB"/>
        </w:rPr>
        <w:t>D</w:t>
      </w:r>
      <w:r w:rsidRPr="00500A92" w:rsidR="00500A92">
        <w:rPr>
          <w:lang w:val="en-GB"/>
        </w:rPr>
        <w:t xml:space="preserve">ata is reused beyond its original purpose </w:t>
      </w:r>
    </w:p>
    <w:p w:rsidRPr="00A2263D" w:rsidR="00500A92" w:rsidP="00500A92" w:rsidRDefault="00500A92" w14:paraId="3E42C858" w14:textId="24EFBBBC">
      <w:pPr>
        <w:rPr>
          <w:lang w:val="en-GB"/>
        </w:rPr>
      </w:pPr>
    </w:p>
    <w:p w:rsidRPr="00A2263D" w:rsidR="00A840FB" w:rsidP="00500A92" w:rsidRDefault="00A840FB" w14:paraId="5A857901" w14:textId="77777777">
      <w:pPr>
        <w:rPr>
          <w:lang w:val="en-GB"/>
        </w:rPr>
      </w:pPr>
    </w:p>
    <w:p w:rsidRPr="00500A92" w:rsidR="00500A92" w:rsidP="00500A92" w:rsidRDefault="00500A92" w14:paraId="230C9EEE" w14:textId="77777777">
      <w:pPr>
        <w:rPr>
          <w:i/>
          <w:iCs/>
          <w:u w:val="single"/>
          <w:lang w:val="en-GB"/>
        </w:rPr>
      </w:pPr>
      <w:r w:rsidRPr="00500A92">
        <w:rPr>
          <w:i/>
          <w:iCs/>
          <w:u w:val="single"/>
          <w:lang w:val="en-GB"/>
        </w:rPr>
        <w:t>Re-identification of anonymised data</w:t>
      </w:r>
    </w:p>
    <w:p w:rsidRPr="00500A92" w:rsidR="00500A92" w:rsidP="00500A92" w:rsidRDefault="00500A92" w14:paraId="3639C476" w14:textId="77777777">
      <w:pPr>
        <w:rPr>
          <w:lang w:val="en-GB"/>
        </w:rPr>
      </w:pPr>
      <w:r w:rsidRPr="00500A92">
        <w:rPr>
          <w:lang w:val="en-GB"/>
        </w:rPr>
        <w:t>Even when data is anonymised, there is a risk that individuals can be re-identified by combining datasets (GDPR Advisor, 2025). For example, traffic data combined with other sources could reveal individual mobility patterns.</w:t>
      </w:r>
    </w:p>
    <w:p w:rsidRPr="00500A92" w:rsidR="00500A92" w:rsidP="00500A92" w:rsidRDefault="00500A92" w14:paraId="72D4798B" w14:textId="294A8140">
      <w:pPr>
        <w:rPr>
          <w:lang w:val="en-GB"/>
        </w:rPr>
      </w:pPr>
      <w:r w:rsidRPr="00500A92">
        <w:rPr>
          <w:lang w:val="en-GB"/>
        </w:rPr>
        <w:t>The DS4SSCC Blueprint recommends conducting periodic re-identification tests to assess whether datasets still contain identifiable information (Sepp et al., 2025). Currently, there is no formal procedure for this in Inzicht Verlicht, which creates a legal vulnerability.</w:t>
      </w:r>
    </w:p>
    <w:p w:rsidRPr="00500A92" w:rsidR="00500A92" w:rsidP="00500A92" w:rsidRDefault="00500A92" w14:paraId="5C47C0B5" w14:textId="77777777">
      <w:pPr>
        <w:rPr>
          <w:i/>
          <w:iCs/>
          <w:u w:val="single"/>
          <w:lang w:val="en-GB"/>
        </w:rPr>
      </w:pPr>
      <w:r w:rsidRPr="00500A92">
        <w:rPr>
          <w:i/>
          <w:iCs/>
          <w:u w:val="single"/>
          <w:lang w:val="en-GB"/>
        </w:rPr>
        <w:t>Data Governance Act and Data Act</w:t>
      </w:r>
    </w:p>
    <w:p w:rsidRPr="00500A92" w:rsidR="00500A92" w:rsidP="00500A92" w:rsidRDefault="00500A92" w14:paraId="47B8B94B" w14:textId="77777777">
      <w:pPr>
        <w:rPr>
          <w:lang w:val="en-GB"/>
        </w:rPr>
      </w:pPr>
      <w:r w:rsidRPr="00500A92">
        <w:rPr>
          <w:lang w:val="en-GB"/>
        </w:rPr>
        <w:t>In addition to the GDPR, two European regulations are relevant:</w:t>
      </w:r>
    </w:p>
    <w:p w:rsidRPr="00500A92" w:rsidR="00500A92" w:rsidP="00500A92" w:rsidRDefault="00500A92" w14:paraId="14A94E69" w14:textId="77777777">
      <w:pPr>
        <w:numPr>
          <w:ilvl w:val="0"/>
          <w:numId w:val="37"/>
        </w:numPr>
        <w:rPr>
          <w:lang w:val="en-GB"/>
        </w:rPr>
      </w:pPr>
      <w:r w:rsidRPr="00500A92">
        <w:rPr>
          <w:lang w:val="en-GB"/>
        </w:rPr>
        <w:t xml:space="preserve">The Data Governance Act (DGA) regulates the reuse of public sector data and requires data intermediaries to operate in a neutral and transparent way (European Commission, 2022). </w:t>
      </w:r>
    </w:p>
    <w:p w:rsidRPr="00500A92" w:rsidR="00500A92" w:rsidP="00500A92" w:rsidRDefault="00500A92" w14:paraId="3E31D5A8" w14:textId="77777777">
      <w:pPr>
        <w:numPr>
          <w:ilvl w:val="0"/>
          <w:numId w:val="37"/>
        </w:numPr>
        <w:rPr>
          <w:lang w:val="en-GB"/>
        </w:rPr>
      </w:pPr>
      <w:r w:rsidRPr="00500A92">
        <w:rPr>
          <w:lang w:val="en-GB"/>
        </w:rPr>
        <w:t xml:space="preserve">The Data Act introduces rules for access to and use of IoT-generated data (European Parliament and Council, 2023). </w:t>
      </w:r>
    </w:p>
    <w:p w:rsidRPr="00500A92" w:rsidR="00500A92" w:rsidP="00500A92" w:rsidRDefault="00500A92" w14:paraId="254C9E51" w14:textId="7DF14B23">
      <w:pPr>
        <w:rPr>
          <w:lang w:val="en-GB"/>
        </w:rPr>
      </w:pPr>
      <w:r w:rsidRPr="00500A92">
        <w:rPr>
          <w:lang w:val="en-GB"/>
        </w:rPr>
        <w:t>In the Inzicht Verlicht context, the municipality may act as both data holder and user. This creates a potential conflict with the neutrality requirement of the DGA.</w:t>
      </w:r>
    </w:p>
    <w:p w:rsidRPr="00500A92" w:rsidR="00500A92" w:rsidP="00500A92" w:rsidRDefault="00500A92" w14:paraId="07625B1A" w14:textId="77777777">
      <w:pPr>
        <w:rPr>
          <w:i/>
          <w:iCs/>
          <w:u w:val="single"/>
          <w:lang w:val="en-GB"/>
        </w:rPr>
      </w:pPr>
      <w:r w:rsidRPr="00500A92">
        <w:rPr>
          <w:i/>
          <w:iCs/>
          <w:u w:val="single"/>
          <w:lang w:val="en-GB"/>
        </w:rPr>
        <w:t>Data ownership and liability</w:t>
      </w:r>
    </w:p>
    <w:p w:rsidRPr="00500A92" w:rsidR="00500A92" w:rsidP="00500A92" w:rsidRDefault="00500A92" w14:paraId="634DA778" w14:textId="77777777">
      <w:pPr>
        <w:rPr>
          <w:lang w:val="en-GB"/>
        </w:rPr>
      </w:pPr>
      <w:r w:rsidRPr="00500A92">
        <w:rPr>
          <w:lang w:val="en-GB"/>
        </w:rPr>
        <w:t>A key legal risk is the lack of clarity about:</w:t>
      </w:r>
    </w:p>
    <w:p w:rsidRPr="00500A92" w:rsidR="00500A92" w:rsidP="00500A92" w:rsidRDefault="00E049D1" w14:paraId="351E9B2F" w14:textId="68E4CA0A">
      <w:pPr>
        <w:numPr>
          <w:ilvl w:val="0"/>
          <w:numId w:val="38"/>
        </w:numPr>
        <w:rPr>
          <w:lang w:val="nl-NL"/>
        </w:rPr>
      </w:pPr>
      <w:r>
        <w:rPr>
          <w:lang w:val="nl-NL"/>
        </w:rPr>
        <w:t>W</w:t>
      </w:r>
      <w:r w:rsidRPr="00500A92" w:rsidR="00500A92">
        <w:rPr>
          <w:lang w:val="nl-NL"/>
        </w:rPr>
        <w:t xml:space="preserve">ho owns the data </w:t>
      </w:r>
    </w:p>
    <w:p w:rsidRPr="00500A92" w:rsidR="00500A92" w:rsidP="00500A92" w:rsidRDefault="00E049D1" w14:paraId="723425D3" w14:textId="0E917D21">
      <w:pPr>
        <w:numPr>
          <w:ilvl w:val="0"/>
          <w:numId w:val="38"/>
        </w:numPr>
        <w:rPr>
          <w:lang w:val="nl-NL"/>
        </w:rPr>
      </w:pPr>
      <w:r>
        <w:rPr>
          <w:lang w:val="nl-NL"/>
        </w:rPr>
        <w:t>W</w:t>
      </w:r>
      <w:r w:rsidRPr="00500A92" w:rsidR="00500A92">
        <w:rPr>
          <w:lang w:val="nl-NL"/>
        </w:rPr>
        <w:t xml:space="preserve">ho controls access </w:t>
      </w:r>
    </w:p>
    <w:p w:rsidRPr="00500A92" w:rsidR="00500A92" w:rsidP="00500A92" w:rsidRDefault="00E049D1" w14:paraId="559C01FE" w14:textId="2A9847C4">
      <w:pPr>
        <w:numPr>
          <w:ilvl w:val="0"/>
          <w:numId w:val="38"/>
        </w:numPr>
        <w:rPr>
          <w:lang w:val="en-GB"/>
        </w:rPr>
      </w:pPr>
      <w:r>
        <w:rPr>
          <w:lang w:val="en-GB"/>
        </w:rPr>
        <w:t>W</w:t>
      </w:r>
      <w:r w:rsidRPr="00500A92" w:rsidR="00500A92">
        <w:rPr>
          <w:lang w:val="en-GB"/>
        </w:rPr>
        <w:t xml:space="preserve">ho is responsible in case of incidents </w:t>
      </w:r>
    </w:p>
    <w:p w:rsidRPr="00500A92" w:rsidR="00500A92" w:rsidP="00500A92" w:rsidRDefault="00500A92" w14:paraId="2F99E8CB" w14:textId="21A41DBB">
      <w:pPr>
        <w:rPr>
          <w:lang w:val="en-GB"/>
        </w:rPr>
      </w:pPr>
      <w:r w:rsidRPr="00500A92">
        <w:rPr>
          <w:lang w:val="en-GB"/>
        </w:rPr>
        <w:t>In collaborations with multiple stakeholders, unclear responsibility can lead to accountability gaps and legal disputes (Janssen et al., 2020). Without formal agreements (e.g. GDPR Article 26 or 28), it becomes unclear who must act in case of a data breach or misuse.</w:t>
      </w:r>
    </w:p>
    <w:p w:rsidRPr="00500A92" w:rsidR="00500A92" w:rsidP="00500A92" w:rsidRDefault="00500A92" w14:paraId="3E848126" w14:textId="77777777">
      <w:pPr>
        <w:rPr>
          <w:b/>
          <w:bCs/>
          <w:lang w:val="en-GB"/>
        </w:rPr>
      </w:pPr>
      <w:r w:rsidRPr="00500A92">
        <w:rPr>
          <w:b/>
          <w:bCs/>
          <w:lang w:val="en-GB"/>
        </w:rPr>
        <w:t>Ethical risks</w:t>
      </w:r>
    </w:p>
    <w:p w:rsidRPr="00500A92" w:rsidR="00500A92" w:rsidP="00500A92" w:rsidRDefault="00500A92" w14:paraId="57B0CBCC" w14:textId="0EB82059">
      <w:pPr>
        <w:rPr>
          <w:lang w:val="en-GB"/>
        </w:rPr>
      </w:pPr>
      <w:r w:rsidRPr="00500A92">
        <w:rPr>
          <w:lang w:val="en-GB"/>
        </w:rPr>
        <w:t>Ethical risks focus on values such as trust, fairness and transparency, and can exist even when laws are not technically violated (Kitchin, 2016).</w:t>
      </w:r>
    </w:p>
    <w:p w:rsidRPr="00500A92" w:rsidR="00500A92" w:rsidP="00500A92" w:rsidRDefault="00500A92" w14:paraId="34872DF2" w14:textId="77777777">
      <w:pPr>
        <w:rPr>
          <w:i/>
          <w:iCs/>
          <w:u w:val="single"/>
          <w:lang w:val="en-GB"/>
        </w:rPr>
      </w:pPr>
      <w:r w:rsidRPr="00500A92">
        <w:rPr>
          <w:i/>
          <w:iCs/>
          <w:u w:val="single"/>
          <w:lang w:val="en-GB"/>
        </w:rPr>
        <w:t>Surveillance and loss of trust</w:t>
      </w:r>
    </w:p>
    <w:p w:rsidRPr="00500A92" w:rsidR="00500A92" w:rsidP="00500A92" w:rsidRDefault="00500A92" w14:paraId="40FA78C7" w14:textId="77777777">
      <w:pPr>
        <w:rPr>
          <w:lang w:val="en-GB"/>
        </w:rPr>
      </w:pPr>
      <w:r w:rsidRPr="00500A92">
        <w:rPr>
          <w:lang w:val="en-GB"/>
        </w:rPr>
        <w:t>One of the main ethical risks in smart city projects is the perception of surveillance. Tracking movement patterns in public space can feel invasive, even if data is anonymised (Zuboff, 2019).</w:t>
      </w:r>
    </w:p>
    <w:p w:rsidRPr="00500A92" w:rsidR="00500A92" w:rsidP="00500A92" w:rsidRDefault="00500A92" w14:paraId="63F8384B" w14:textId="77777777">
      <w:pPr>
        <w:rPr>
          <w:lang w:val="en-GB"/>
        </w:rPr>
      </w:pPr>
      <w:r w:rsidRPr="00500A92">
        <w:rPr>
          <w:lang w:val="en-GB"/>
        </w:rPr>
        <w:t>In the Inzicht Verlicht project, there is limited communication to citizens about:</w:t>
      </w:r>
    </w:p>
    <w:p w:rsidRPr="00500A92" w:rsidR="00500A92" w:rsidP="00500A92" w:rsidRDefault="00E049D1" w14:paraId="44947275" w14:textId="14E72AE5">
      <w:pPr>
        <w:numPr>
          <w:ilvl w:val="0"/>
          <w:numId w:val="39"/>
        </w:numPr>
        <w:rPr>
          <w:lang w:val="nl-NL"/>
        </w:rPr>
      </w:pPr>
      <w:r>
        <w:rPr>
          <w:lang w:val="nl-NL"/>
        </w:rPr>
        <w:t>W</w:t>
      </w:r>
      <w:r w:rsidRPr="00500A92" w:rsidR="00500A92">
        <w:rPr>
          <w:lang w:val="nl-NL"/>
        </w:rPr>
        <w:t xml:space="preserve">hat data </w:t>
      </w:r>
      <w:proofErr w:type="gramStart"/>
      <w:r w:rsidRPr="00500A92" w:rsidR="00500A92">
        <w:rPr>
          <w:lang w:val="nl-NL"/>
        </w:rPr>
        <w:t>is</w:t>
      </w:r>
      <w:proofErr w:type="gramEnd"/>
      <w:r w:rsidRPr="00500A92" w:rsidR="00500A92">
        <w:rPr>
          <w:lang w:val="nl-NL"/>
        </w:rPr>
        <w:t xml:space="preserve"> being collected </w:t>
      </w:r>
    </w:p>
    <w:p w:rsidRPr="00500A92" w:rsidR="00500A92" w:rsidP="00500A92" w:rsidRDefault="00E049D1" w14:paraId="0DF7CAD9" w14:textId="614EC908">
      <w:pPr>
        <w:numPr>
          <w:ilvl w:val="0"/>
          <w:numId w:val="39"/>
        </w:numPr>
        <w:rPr>
          <w:lang w:val="nl-NL"/>
        </w:rPr>
      </w:pPr>
      <w:r>
        <w:rPr>
          <w:lang w:val="nl-NL"/>
        </w:rPr>
        <w:t>W</w:t>
      </w:r>
      <w:r w:rsidRPr="00500A92" w:rsidR="00500A92">
        <w:rPr>
          <w:lang w:val="nl-NL"/>
        </w:rPr>
        <w:t xml:space="preserve">hy it is collected </w:t>
      </w:r>
    </w:p>
    <w:p w:rsidRPr="00500A92" w:rsidR="00500A92" w:rsidP="00500A92" w:rsidRDefault="00E049D1" w14:paraId="762DA039" w14:textId="0DC558A1">
      <w:pPr>
        <w:numPr>
          <w:ilvl w:val="0"/>
          <w:numId w:val="39"/>
        </w:numPr>
        <w:rPr>
          <w:lang w:val="nl-NL"/>
        </w:rPr>
      </w:pPr>
      <w:r>
        <w:rPr>
          <w:lang w:val="nl-NL"/>
        </w:rPr>
        <w:t>W</w:t>
      </w:r>
      <w:r w:rsidRPr="00500A92" w:rsidR="00500A92">
        <w:rPr>
          <w:lang w:val="nl-NL"/>
        </w:rPr>
        <w:t xml:space="preserve">ho has access </w:t>
      </w:r>
    </w:p>
    <w:p w:rsidRPr="00500A92" w:rsidR="00500A92" w:rsidP="00500A92" w:rsidRDefault="00500A92" w14:paraId="7E3AB556" w14:textId="22D8A5D3">
      <w:pPr>
        <w:rPr>
          <w:lang w:val="en-GB"/>
        </w:rPr>
      </w:pPr>
      <w:r w:rsidRPr="00500A92">
        <w:rPr>
          <w:lang w:val="en-GB"/>
        </w:rPr>
        <w:t>This lack of transparency creates a risk of reduced public trust.</w:t>
      </w:r>
    </w:p>
    <w:p w:rsidRPr="00500A92" w:rsidR="00500A92" w:rsidP="00500A92" w:rsidRDefault="00500A92" w14:paraId="2D4B9709" w14:textId="77777777">
      <w:pPr>
        <w:rPr>
          <w:i/>
          <w:iCs/>
          <w:u w:val="single"/>
          <w:lang w:val="en-GB"/>
        </w:rPr>
      </w:pPr>
      <w:r w:rsidRPr="00500A92">
        <w:rPr>
          <w:i/>
          <w:iCs/>
          <w:u w:val="single"/>
          <w:lang w:val="en-GB"/>
        </w:rPr>
        <w:t>Privacy by design</w:t>
      </w:r>
    </w:p>
    <w:p w:rsidRPr="00500A92" w:rsidR="00500A92" w:rsidP="00500A92" w:rsidRDefault="00500A92" w14:paraId="47EDF23C" w14:textId="77777777">
      <w:pPr>
        <w:rPr>
          <w:lang w:val="nl-NL"/>
        </w:rPr>
      </w:pPr>
      <w:r w:rsidRPr="00500A92">
        <w:rPr>
          <w:lang w:val="en-GB"/>
        </w:rPr>
        <w:t xml:space="preserve">Privacy by design means that privacy protection should be built into the system from the start, rather than added afterwards (Cavoukian, 2010). </w:t>
      </w:r>
      <w:r w:rsidRPr="00500A92">
        <w:rPr>
          <w:lang w:val="nl-NL"/>
        </w:rPr>
        <w:t>This includes:</w:t>
      </w:r>
    </w:p>
    <w:p w:rsidRPr="00500A92" w:rsidR="00500A92" w:rsidP="00500A92" w:rsidRDefault="00E049D1" w14:paraId="0E72C9F5" w14:textId="1B8BF4D9">
      <w:pPr>
        <w:numPr>
          <w:ilvl w:val="0"/>
          <w:numId w:val="40"/>
        </w:numPr>
        <w:rPr>
          <w:lang w:val="nl-NL"/>
        </w:rPr>
      </w:pPr>
      <w:r w:rsidRPr="00500A92">
        <w:rPr>
          <w:lang w:val="nl-NL"/>
        </w:rPr>
        <w:t>Data</w:t>
      </w:r>
      <w:r w:rsidRPr="00500A92" w:rsidR="00500A92">
        <w:rPr>
          <w:lang w:val="nl-NL"/>
        </w:rPr>
        <w:t xml:space="preserve"> minimisation </w:t>
      </w:r>
    </w:p>
    <w:p w:rsidRPr="00500A92" w:rsidR="00500A92" w:rsidP="00500A92" w:rsidRDefault="00E049D1" w14:paraId="64BA6D88" w14:textId="3554A0E6">
      <w:pPr>
        <w:numPr>
          <w:ilvl w:val="0"/>
          <w:numId w:val="40"/>
        </w:numPr>
        <w:rPr>
          <w:lang w:val="nl-NL"/>
        </w:rPr>
      </w:pPr>
      <w:r w:rsidRPr="00500A92">
        <w:rPr>
          <w:lang w:val="nl-NL"/>
        </w:rPr>
        <w:t>Privacy</w:t>
      </w:r>
      <w:r w:rsidRPr="00500A92" w:rsidR="00500A92">
        <w:rPr>
          <w:lang w:val="nl-NL"/>
        </w:rPr>
        <w:t xml:space="preserve">-friendly default settings </w:t>
      </w:r>
    </w:p>
    <w:p w:rsidRPr="00500A92" w:rsidR="00500A92" w:rsidP="00500A92" w:rsidRDefault="00E049D1" w14:paraId="5F08D6B7" w14:textId="3C3CF1D8">
      <w:pPr>
        <w:numPr>
          <w:ilvl w:val="0"/>
          <w:numId w:val="40"/>
        </w:numPr>
        <w:rPr>
          <w:lang w:val="nl-NL"/>
        </w:rPr>
      </w:pPr>
      <w:r>
        <w:rPr>
          <w:lang w:val="nl-NL"/>
        </w:rPr>
        <w:t>O</w:t>
      </w:r>
      <w:r w:rsidRPr="00500A92" w:rsidR="00500A92">
        <w:rPr>
          <w:lang w:val="nl-NL"/>
        </w:rPr>
        <w:t xml:space="preserve">penness about data use </w:t>
      </w:r>
    </w:p>
    <w:p w:rsidRPr="00500A92" w:rsidR="00500A92" w:rsidP="00500A92" w:rsidRDefault="00500A92" w14:paraId="458A5BBB" w14:textId="561D0FE4">
      <w:pPr>
        <w:rPr>
          <w:lang w:val="en-GB"/>
        </w:rPr>
      </w:pPr>
      <w:r w:rsidRPr="00500A92">
        <w:rPr>
          <w:lang w:val="en-GB"/>
        </w:rPr>
        <w:t>If these principles are not applied, both ethical and legal risks increase.</w:t>
      </w:r>
    </w:p>
    <w:p w:rsidRPr="00500A92" w:rsidR="00500A92" w:rsidP="00500A92" w:rsidRDefault="00500A92" w14:paraId="67EDEFAB" w14:textId="77777777">
      <w:pPr>
        <w:rPr>
          <w:i/>
          <w:iCs/>
          <w:u w:val="single"/>
          <w:lang w:val="en-GB"/>
        </w:rPr>
      </w:pPr>
      <w:r w:rsidRPr="00500A92">
        <w:rPr>
          <w:i/>
          <w:iCs/>
          <w:u w:val="single"/>
          <w:lang w:val="en-GB"/>
        </w:rPr>
        <w:t>Bias and unfair outcomes</w:t>
      </w:r>
    </w:p>
    <w:p w:rsidRPr="00500A92" w:rsidR="00500A92" w:rsidP="00500A92" w:rsidRDefault="00500A92" w14:paraId="2E10720D" w14:textId="77777777">
      <w:pPr>
        <w:rPr>
          <w:lang w:val="en-GB"/>
        </w:rPr>
      </w:pPr>
      <w:r w:rsidRPr="00500A92">
        <w:rPr>
          <w:lang w:val="en-GB"/>
        </w:rPr>
        <w:t>Data can lead to unfair or discriminatory outcomes if certain groups are underrepresented. When data is used for policy decisions, this can result in unequal treatment.</w:t>
      </w:r>
    </w:p>
    <w:p w:rsidRPr="00500A92" w:rsidR="00500A92" w:rsidP="00500A92" w:rsidRDefault="00500A92" w14:paraId="7D2357E6" w14:textId="3EFB306E">
      <w:pPr>
        <w:rPr>
          <w:lang w:val="en-GB"/>
        </w:rPr>
      </w:pPr>
      <w:r w:rsidRPr="00500A92">
        <w:rPr>
          <w:lang w:val="en-GB"/>
        </w:rPr>
        <w:t>Frameworks such as FRAIA help governments assess whether systems are fair, transparent and explainable (Ministry of the Interior and Kingdom Relations, 2021).</w:t>
      </w:r>
    </w:p>
    <w:p w:rsidRPr="00500A92" w:rsidR="00500A92" w:rsidP="00500A92" w:rsidRDefault="00500A92" w14:paraId="4FF000C6" w14:textId="77777777">
      <w:pPr>
        <w:rPr>
          <w:i/>
          <w:iCs/>
          <w:u w:val="single"/>
          <w:lang w:val="en-GB"/>
        </w:rPr>
      </w:pPr>
      <w:r w:rsidRPr="00500A92">
        <w:rPr>
          <w:i/>
          <w:iCs/>
          <w:u w:val="single"/>
          <w:lang w:val="en-GB"/>
        </w:rPr>
        <w:t>Mission creep (scope creep)</w:t>
      </w:r>
    </w:p>
    <w:p w:rsidRPr="00500A92" w:rsidR="00500A92" w:rsidP="00500A92" w:rsidRDefault="00500A92" w14:paraId="455A8D43" w14:textId="77777777">
      <w:pPr>
        <w:rPr>
          <w:lang w:val="en-GB"/>
        </w:rPr>
      </w:pPr>
      <w:r w:rsidRPr="00500A92">
        <w:rPr>
          <w:lang w:val="en-GB"/>
        </w:rPr>
        <w:t>Mission creep refers to the gradual expansion of data use beyond its original purpose (Kitchin, 2016). For example, data collected for traffic optimisation could later be used for other types of monitoring.</w:t>
      </w:r>
    </w:p>
    <w:p w:rsidRPr="00500A92" w:rsidR="00500A92" w:rsidP="00500A92" w:rsidRDefault="00500A92" w14:paraId="3DEA1B4E" w14:textId="77777777">
      <w:pPr>
        <w:rPr>
          <w:lang w:val="nl-NL"/>
        </w:rPr>
      </w:pPr>
      <w:r w:rsidRPr="00500A92">
        <w:rPr>
          <w:lang w:val="nl-NL"/>
        </w:rPr>
        <w:t>This is:</w:t>
      </w:r>
    </w:p>
    <w:p w:rsidRPr="00500A92" w:rsidR="00500A92" w:rsidP="00500A92" w:rsidRDefault="00DD58DE" w14:paraId="5926629D" w14:textId="33710632">
      <w:pPr>
        <w:numPr>
          <w:ilvl w:val="0"/>
          <w:numId w:val="41"/>
        </w:numPr>
        <w:rPr>
          <w:lang w:val="en-GB"/>
        </w:rPr>
      </w:pPr>
      <w:r>
        <w:rPr>
          <w:lang w:val="en-GB"/>
        </w:rPr>
        <w:t>A</w:t>
      </w:r>
      <w:r w:rsidRPr="00500A92" w:rsidR="00500A92">
        <w:rPr>
          <w:lang w:val="en-GB"/>
        </w:rPr>
        <w:t xml:space="preserve"> legal risk (violates GDPR purpose limitation) </w:t>
      </w:r>
    </w:p>
    <w:p w:rsidRPr="00500A92" w:rsidR="00500A92" w:rsidP="00500A92" w:rsidRDefault="00DD58DE" w14:paraId="5501E86E" w14:textId="44CF4FFE">
      <w:pPr>
        <w:numPr>
          <w:ilvl w:val="0"/>
          <w:numId w:val="41"/>
        </w:numPr>
        <w:rPr>
          <w:lang w:val="en-GB"/>
        </w:rPr>
      </w:pPr>
      <w:r>
        <w:rPr>
          <w:lang w:val="en-GB"/>
        </w:rPr>
        <w:t>A</w:t>
      </w:r>
      <w:r w:rsidRPr="00500A92" w:rsidR="00500A92">
        <w:rPr>
          <w:lang w:val="en-GB"/>
        </w:rPr>
        <w:t xml:space="preserve">n ethical risk (violates expectations and trust) </w:t>
      </w:r>
    </w:p>
    <w:p w:rsidRPr="00500A92" w:rsidR="00500A92" w:rsidP="00500A92" w:rsidRDefault="00500A92" w14:paraId="453E9B07" w14:textId="77777777">
      <w:pPr>
        <w:rPr>
          <w:i/>
          <w:iCs/>
          <w:u w:val="single"/>
          <w:lang w:val="en-GB"/>
        </w:rPr>
      </w:pPr>
      <w:r w:rsidRPr="00500A92">
        <w:rPr>
          <w:i/>
          <w:iCs/>
          <w:u w:val="single"/>
          <w:lang w:val="en-GB"/>
        </w:rPr>
        <w:t>Organisational risks</w:t>
      </w:r>
    </w:p>
    <w:p w:rsidRPr="00500A92" w:rsidR="00500A92" w:rsidP="00500A92" w:rsidRDefault="00500A92" w14:paraId="3B447DE0" w14:textId="0A07AF8B">
      <w:pPr>
        <w:rPr>
          <w:lang w:val="en-GB"/>
        </w:rPr>
      </w:pPr>
      <w:r w:rsidRPr="00500A92">
        <w:rPr>
          <w:lang w:val="en-GB"/>
        </w:rPr>
        <w:t>Organisational risks arise when the governance and management of data sharing are not properly arranged.</w:t>
      </w:r>
    </w:p>
    <w:p w:rsidRPr="00500A92" w:rsidR="00500A92" w:rsidP="00500A92" w:rsidRDefault="00500A92" w14:paraId="4D9DE11A" w14:textId="77777777">
      <w:pPr>
        <w:rPr>
          <w:i/>
          <w:iCs/>
          <w:u w:val="single"/>
          <w:lang w:val="en-GB"/>
        </w:rPr>
      </w:pPr>
      <w:r w:rsidRPr="00500A92">
        <w:rPr>
          <w:i/>
          <w:iCs/>
          <w:u w:val="single"/>
          <w:lang w:val="en-GB"/>
        </w:rPr>
        <w:t>Lack of governance structure</w:t>
      </w:r>
    </w:p>
    <w:p w:rsidRPr="00500A92" w:rsidR="00500A92" w:rsidP="00500A92" w:rsidRDefault="00500A92" w14:paraId="3CD17D69" w14:textId="77777777">
      <w:pPr>
        <w:rPr>
          <w:lang w:val="en-GB"/>
        </w:rPr>
      </w:pPr>
      <w:r w:rsidRPr="00500A92">
        <w:rPr>
          <w:lang w:val="en-GB"/>
        </w:rPr>
        <w:t>One of the main risks is the absence of a formal governance framework that defines:</w:t>
      </w:r>
    </w:p>
    <w:p w:rsidRPr="00500A92" w:rsidR="00500A92" w:rsidP="00500A92" w:rsidRDefault="00DD58DE" w14:paraId="4BC4EC40" w14:textId="2A420170">
      <w:pPr>
        <w:numPr>
          <w:ilvl w:val="0"/>
          <w:numId w:val="42"/>
        </w:numPr>
        <w:rPr>
          <w:lang w:val="nl-NL"/>
        </w:rPr>
      </w:pPr>
      <w:r>
        <w:rPr>
          <w:lang w:val="nl-NL"/>
        </w:rPr>
        <w:t>R</w:t>
      </w:r>
      <w:r w:rsidRPr="00500A92" w:rsidR="00500A92">
        <w:rPr>
          <w:lang w:val="nl-NL"/>
        </w:rPr>
        <w:t xml:space="preserve">oles and responsibilities </w:t>
      </w:r>
    </w:p>
    <w:p w:rsidRPr="00500A92" w:rsidR="00500A92" w:rsidP="00500A92" w:rsidRDefault="00DD58DE" w14:paraId="5CA83B8C" w14:textId="7D7609C7">
      <w:pPr>
        <w:numPr>
          <w:ilvl w:val="0"/>
          <w:numId w:val="42"/>
        </w:numPr>
        <w:rPr>
          <w:lang w:val="nl-NL"/>
        </w:rPr>
      </w:pPr>
      <w:r>
        <w:rPr>
          <w:lang w:val="nl-NL"/>
        </w:rPr>
        <w:t>D</w:t>
      </w:r>
      <w:r w:rsidRPr="00500A92" w:rsidR="00500A92">
        <w:rPr>
          <w:lang w:val="nl-NL"/>
        </w:rPr>
        <w:t xml:space="preserve">ecision-making processes </w:t>
      </w:r>
    </w:p>
    <w:p w:rsidRPr="00500A92" w:rsidR="00500A92" w:rsidP="00500A92" w:rsidRDefault="00DD58DE" w14:paraId="3D016411" w14:textId="70527157">
      <w:pPr>
        <w:numPr>
          <w:ilvl w:val="0"/>
          <w:numId w:val="42"/>
        </w:numPr>
        <w:rPr>
          <w:lang w:val="nl-NL"/>
        </w:rPr>
      </w:pPr>
      <w:r w:rsidRPr="00500A92">
        <w:rPr>
          <w:lang w:val="nl-NL"/>
        </w:rPr>
        <w:t>Accountability</w:t>
      </w:r>
      <w:r w:rsidRPr="00500A92" w:rsidR="00500A92">
        <w:rPr>
          <w:lang w:val="nl-NL"/>
        </w:rPr>
        <w:t xml:space="preserve"> mechanisms </w:t>
      </w:r>
    </w:p>
    <w:p w:rsidRPr="00500A92" w:rsidR="00500A92" w:rsidP="00500A92" w:rsidRDefault="00500A92" w14:paraId="432D8C2F" w14:textId="4841E6DE">
      <w:pPr>
        <w:rPr>
          <w:lang w:val="en-GB"/>
        </w:rPr>
      </w:pPr>
      <w:r w:rsidRPr="00500A92">
        <w:rPr>
          <w:lang w:val="en-GB"/>
        </w:rPr>
        <w:t>Research shows that unclear governance is a key reason why data-sharing initiatives fail (Janssen et al., 2020).</w:t>
      </w:r>
    </w:p>
    <w:p w:rsidRPr="00500A92" w:rsidR="00500A92" w:rsidP="00500A92" w:rsidRDefault="00500A92" w14:paraId="4567BDC4" w14:textId="77777777">
      <w:pPr>
        <w:rPr>
          <w:i/>
          <w:iCs/>
          <w:u w:val="single"/>
          <w:lang w:val="en-GB"/>
        </w:rPr>
      </w:pPr>
      <w:r w:rsidRPr="00500A92">
        <w:rPr>
          <w:i/>
          <w:iCs/>
          <w:u w:val="single"/>
          <w:lang w:val="en-GB"/>
        </w:rPr>
        <w:t>Unclear roles and responsibilities</w:t>
      </w:r>
    </w:p>
    <w:p w:rsidRPr="00500A92" w:rsidR="00500A92" w:rsidP="00500A92" w:rsidRDefault="00500A92" w14:paraId="37E7E81D" w14:textId="77777777">
      <w:pPr>
        <w:rPr>
          <w:lang w:val="en-GB"/>
        </w:rPr>
      </w:pPr>
      <w:r w:rsidRPr="00500A92">
        <w:rPr>
          <w:lang w:val="en-GB"/>
        </w:rPr>
        <w:t>If it is not clearly defined who can access, modify or share data, this can lead to:</w:t>
      </w:r>
    </w:p>
    <w:p w:rsidRPr="00500A92" w:rsidR="00500A92" w:rsidP="00500A92" w:rsidRDefault="00DD58DE" w14:paraId="56C06731" w14:textId="6D87E29C">
      <w:pPr>
        <w:numPr>
          <w:ilvl w:val="0"/>
          <w:numId w:val="43"/>
        </w:numPr>
        <w:rPr>
          <w:lang w:val="nl-NL"/>
        </w:rPr>
      </w:pPr>
      <w:r>
        <w:rPr>
          <w:lang w:val="nl-NL"/>
        </w:rPr>
        <w:t>U</w:t>
      </w:r>
      <w:r w:rsidRPr="00500A92" w:rsidR="00500A92">
        <w:rPr>
          <w:lang w:val="nl-NL"/>
        </w:rPr>
        <w:t xml:space="preserve">nauthorised access </w:t>
      </w:r>
    </w:p>
    <w:p w:rsidRPr="00500A92" w:rsidR="00500A92" w:rsidP="00500A92" w:rsidRDefault="00DD58DE" w14:paraId="2E43A7A8" w14:textId="4955C168">
      <w:pPr>
        <w:numPr>
          <w:ilvl w:val="0"/>
          <w:numId w:val="43"/>
        </w:numPr>
        <w:rPr>
          <w:lang w:val="nl-NL"/>
        </w:rPr>
      </w:pPr>
      <w:r>
        <w:rPr>
          <w:lang w:val="nl-NL"/>
        </w:rPr>
        <w:t>M</w:t>
      </w:r>
      <w:r w:rsidRPr="00500A92" w:rsidR="00500A92">
        <w:rPr>
          <w:lang w:val="nl-NL"/>
        </w:rPr>
        <w:t xml:space="preserve">iscommunication </w:t>
      </w:r>
    </w:p>
    <w:p w:rsidRPr="00500A92" w:rsidR="00500A92" w:rsidP="00500A92" w:rsidRDefault="00DD58DE" w14:paraId="785A6B90" w14:textId="0ED02C6E">
      <w:pPr>
        <w:numPr>
          <w:ilvl w:val="0"/>
          <w:numId w:val="43"/>
        </w:numPr>
        <w:rPr>
          <w:lang w:val="en-GB"/>
        </w:rPr>
      </w:pPr>
      <w:r>
        <w:rPr>
          <w:lang w:val="en-GB"/>
        </w:rPr>
        <w:t>U</w:t>
      </w:r>
      <w:r w:rsidRPr="00500A92" w:rsidR="00500A92">
        <w:rPr>
          <w:lang w:val="en-GB"/>
        </w:rPr>
        <w:t xml:space="preserve">nclear responsibility in case of incidents </w:t>
      </w:r>
    </w:p>
    <w:p w:rsidRPr="00500A92" w:rsidR="00500A92" w:rsidP="00500A92" w:rsidRDefault="00500A92" w14:paraId="3FDD789C" w14:textId="77777777">
      <w:pPr>
        <w:rPr>
          <w:i/>
          <w:iCs/>
          <w:u w:val="single"/>
          <w:lang w:val="en-GB"/>
        </w:rPr>
      </w:pPr>
      <w:r w:rsidRPr="00500A92">
        <w:rPr>
          <w:i/>
          <w:iCs/>
          <w:u w:val="single"/>
          <w:lang w:val="en-GB"/>
        </w:rPr>
        <w:t>Dependency on individuals</w:t>
      </w:r>
    </w:p>
    <w:p w:rsidRPr="00500A92" w:rsidR="00500A92" w:rsidP="00500A92" w:rsidRDefault="00500A92" w14:paraId="072FB3F4" w14:textId="5FB1DABE">
      <w:pPr>
        <w:rPr>
          <w:lang w:val="en-GB"/>
        </w:rPr>
      </w:pPr>
      <w:r w:rsidRPr="00500A92">
        <w:rPr>
          <w:lang w:val="en-GB"/>
        </w:rPr>
        <w:t>In project-based environments, knowledge is often concentrated in a small group of people. If these individuals leave, important knowledge may be lost, which threatens continuity.</w:t>
      </w:r>
    </w:p>
    <w:p w:rsidRPr="00500A92" w:rsidR="00500A92" w:rsidP="00500A92" w:rsidRDefault="00500A92" w14:paraId="4C1754DB" w14:textId="77777777">
      <w:pPr>
        <w:rPr>
          <w:i/>
          <w:iCs/>
          <w:u w:val="single"/>
          <w:lang w:val="en-GB"/>
        </w:rPr>
      </w:pPr>
      <w:r w:rsidRPr="00500A92">
        <w:rPr>
          <w:i/>
          <w:iCs/>
          <w:u w:val="single"/>
          <w:lang w:val="en-GB"/>
        </w:rPr>
        <w:t>Stakeholder misalignment</w:t>
      </w:r>
    </w:p>
    <w:p w:rsidRPr="00500A92" w:rsidR="00500A92" w:rsidP="00500A92" w:rsidRDefault="00500A92" w14:paraId="361F3EC2" w14:textId="77777777">
      <w:pPr>
        <w:rPr>
          <w:lang w:val="en-GB"/>
        </w:rPr>
      </w:pPr>
      <w:r w:rsidRPr="00500A92">
        <w:rPr>
          <w:lang w:val="en-GB"/>
        </w:rPr>
        <w:t>The Inzicht Verlicht dataspace involves multiple stakeholders, such as the municipality, educational institutions and potential private partners. These parties may have different goals and interests (Micheli, 2022).</w:t>
      </w:r>
    </w:p>
    <w:p w:rsidRPr="00500A92" w:rsidR="00500A92" w:rsidP="00500A92" w:rsidRDefault="00500A92" w14:paraId="67B77336" w14:textId="77777777">
      <w:pPr>
        <w:rPr>
          <w:lang w:val="en-GB"/>
        </w:rPr>
      </w:pPr>
      <w:r w:rsidRPr="00500A92">
        <w:rPr>
          <w:lang w:val="en-GB"/>
        </w:rPr>
        <w:t>Without clear agreements on:</w:t>
      </w:r>
    </w:p>
    <w:p w:rsidRPr="00500A92" w:rsidR="00500A92" w:rsidP="00500A92" w:rsidRDefault="00DD58DE" w14:paraId="03CBDD8D" w14:textId="0D6CF699">
      <w:pPr>
        <w:numPr>
          <w:ilvl w:val="0"/>
          <w:numId w:val="44"/>
        </w:numPr>
        <w:rPr>
          <w:lang w:val="nl-NL"/>
        </w:rPr>
      </w:pPr>
      <w:r w:rsidRPr="00500A92">
        <w:rPr>
          <w:lang w:val="nl-NL"/>
        </w:rPr>
        <w:t>Data</w:t>
      </w:r>
      <w:r w:rsidRPr="00500A92" w:rsidR="00500A92">
        <w:rPr>
          <w:lang w:val="nl-NL"/>
        </w:rPr>
        <w:t xml:space="preserve"> access </w:t>
      </w:r>
    </w:p>
    <w:p w:rsidRPr="00500A92" w:rsidR="00500A92" w:rsidP="00500A92" w:rsidRDefault="00DD58DE" w14:paraId="3EFF1229" w14:textId="471A53BC">
      <w:pPr>
        <w:numPr>
          <w:ilvl w:val="0"/>
          <w:numId w:val="44"/>
        </w:numPr>
        <w:rPr>
          <w:lang w:val="nl-NL"/>
        </w:rPr>
      </w:pPr>
      <w:r>
        <w:rPr>
          <w:lang w:val="nl-NL"/>
        </w:rPr>
        <w:t>A</w:t>
      </w:r>
      <w:r w:rsidRPr="00500A92" w:rsidR="00500A92">
        <w:rPr>
          <w:lang w:val="nl-NL"/>
        </w:rPr>
        <w:t xml:space="preserve">cceptable use </w:t>
      </w:r>
    </w:p>
    <w:p w:rsidRPr="00500A92" w:rsidR="00500A92" w:rsidP="00500A92" w:rsidRDefault="00DD58DE" w14:paraId="5A68819D" w14:textId="3DE3DF80">
      <w:pPr>
        <w:numPr>
          <w:ilvl w:val="0"/>
          <w:numId w:val="44"/>
        </w:numPr>
        <w:rPr>
          <w:lang w:val="nl-NL"/>
        </w:rPr>
      </w:pPr>
      <w:r w:rsidRPr="00500A92">
        <w:rPr>
          <w:lang w:val="nl-NL"/>
        </w:rPr>
        <w:t>Project</w:t>
      </w:r>
      <w:r w:rsidRPr="00500A92" w:rsidR="00500A92">
        <w:rPr>
          <w:lang w:val="nl-NL"/>
        </w:rPr>
        <w:t xml:space="preserve"> goals </w:t>
      </w:r>
    </w:p>
    <w:p w:rsidRPr="00500A92" w:rsidR="00500A92" w:rsidP="00500A92" w:rsidRDefault="00500A92" w14:paraId="42FD68DF" w14:textId="0C249037">
      <w:pPr>
        <w:rPr>
          <w:lang w:val="nl-NL"/>
        </w:rPr>
      </w:pPr>
      <w:proofErr w:type="gramStart"/>
      <w:r w:rsidRPr="00500A92">
        <w:rPr>
          <w:lang w:val="nl-NL"/>
        </w:rPr>
        <w:t>collaboration</w:t>
      </w:r>
      <w:proofErr w:type="gramEnd"/>
      <w:r w:rsidRPr="00500A92">
        <w:rPr>
          <w:lang w:val="nl-NL"/>
        </w:rPr>
        <w:t xml:space="preserve"> becomes unstable.</w:t>
      </w:r>
    </w:p>
    <w:p w:rsidRPr="00500A92" w:rsidR="00500A92" w:rsidP="00500A92" w:rsidRDefault="00500A92" w14:paraId="0EAD042A" w14:textId="77777777">
      <w:pPr>
        <w:rPr>
          <w:i/>
          <w:iCs/>
          <w:u w:val="single"/>
          <w:lang w:val="en-GB"/>
        </w:rPr>
      </w:pPr>
      <w:r w:rsidRPr="00500A92">
        <w:rPr>
          <w:i/>
          <w:iCs/>
          <w:u w:val="single"/>
          <w:lang w:val="en-GB"/>
        </w:rPr>
        <w:t>Data retention and interoperability</w:t>
      </w:r>
    </w:p>
    <w:p w:rsidRPr="00500A92" w:rsidR="00500A92" w:rsidP="00500A92" w:rsidRDefault="00500A92" w14:paraId="1E8567DF" w14:textId="77777777">
      <w:pPr>
        <w:rPr>
          <w:lang w:val="en-GB"/>
        </w:rPr>
      </w:pPr>
      <w:r w:rsidRPr="00500A92">
        <w:rPr>
          <w:lang w:val="en-GB"/>
        </w:rPr>
        <w:t>There is currently no clearly defined data retention policy. This can violate the GDPR storage limitation principle and increase risks of misuse or data breaches (Wolford, 2025).</w:t>
      </w:r>
    </w:p>
    <w:p w:rsidRPr="00500A92" w:rsidR="00500A92" w:rsidP="00500A92" w:rsidRDefault="00500A92" w14:paraId="7EEE9AB8" w14:textId="77777777">
      <w:pPr>
        <w:rPr>
          <w:lang w:val="en-GB"/>
        </w:rPr>
      </w:pPr>
      <w:r w:rsidRPr="00500A92">
        <w:rPr>
          <w:lang w:val="en-GB"/>
        </w:rPr>
        <w:t>Additionally, there is a risk of technical fragmentation if data is stored in different formats or systems. The FAIR principles (Wilkinson et al., 2016) emphasise that data should be:</w:t>
      </w:r>
    </w:p>
    <w:p w:rsidRPr="00500A92" w:rsidR="00500A92" w:rsidP="00500A92" w:rsidRDefault="00500A92" w14:paraId="22B27457" w14:textId="77777777">
      <w:pPr>
        <w:numPr>
          <w:ilvl w:val="0"/>
          <w:numId w:val="45"/>
        </w:numPr>
        <w:rPr>
          <w:lang w:val="nl-NL"/>
        </w:rPr>
      </w:pPr>
      <w:r w:rsidRPr="00500A92">
        <w:rPr>
          <w:lang w:val="nl-NL"/>
        </w:rPr>
        <w:t xml:space="preserve">Findable </w:t>
      </w:r>
    </w:p>
    <w:p w:rsidRPr="00500A92" w:rsidR="00500A92" w:rsidP="00500A92" w:rsidRDefault="00500A92" w14:paraId="3325EBDF" w14:textId="77777777">
      <w:pPr>
        <w:numPr>
          <w:ilvl w:val="0"/>
          <w:numId w:val="45"/>
        </w:numPr>
        <w:rPr>
          <w:lang w:val="nl-NL"/>
        </w:rPr>
      </w:pPr>
      <w:r w:rsidRPr="00500A92">
        <w:rPr>
          <w:lang w:val="nl-NL"/>
        </w:rPr>
        <w:t xml:space="preserve">Accessible </w:t>
      </w:r>
    </w:p>
    <w:p w:rsidRPr="00500A92" w:rsidR="00500A92" w:rsidP="00500A92" w:rsidRDefault="00500A92" w14:paraId="50D6A1AD" w14:textId="77777777">
      <w:pPr>
        <w:numPr>
          <w:ilvl w:val="0"/>
          <w:numId w:val="45"/>
        </w:numPr>
        <w:rPr>
          <w:lang w:val="nl-NL"/>
        </w:rPr>
      </w:pPr>
      <w:r w:rsidRPr="00500A92">
        <w:rPr>
          <w:lang w:val="nl-NL"/>
        </w:rPr>
        <w:t xml:space="preserve">Interoperable </w:t>
      </w:r>
    </w:p>
    <w:p w:rsidRPr="00F853C6" w:rsidR="00A840FB" w:rsidP="007628B0" w:rsidRDefault="00500A92" w14:paraId="3A23B45F" w14:textId="12F9DAF7">
      <w:pPr>
        <w:numPr>
          <w:ilvl w:val="0"/>
          <w:numId w:val="45"/>
        </w:numPr>
        <w:rPr>
          <w:lang w:val="nl-NL"/>
        </w:rPr>
      </w:pPr>
      <w:r w:rsidRPr="00500A92">
        <w:rPr>
          <w:lang w:val="nl-NL"/>
        </w:rPr>
        <w:t xml:space="preserve">Reusable </w:t>
      </w:r>
    </w:p>
    <w:p w:rsidRPr="00AE6EB5" w:rsidR="00C52F04" w:rsidP="009310BB" w:rsidRDefault="00C52F04" w14:paraId="0209B219" w14:textId="77777777">
      <w:pPr>
        <w:pStyle w:val="Heading3"/>
        <w:framePr w:wrap="around"/>
        <w:rPr>
          <w:lang w:val="en-US"/>
        </w:rPr>
      </w:pPr>
      <w:bookmarkStart w:name="_Toc231982061" w:id="30"/>
      <w:r w:rsidRPr="00AE6EB5">
        <w:rPr>
          <w:lang w:val="en-US"/>
        </w:rPr>
        <w:t>Best, good and bad practices</w:t>
      </w:r>
      <w:bookmarkEnd w:id="30"/>
    </w:p>
    <w:p w:rsidR="00A840FB" w:rsidP="5D520BEA" w:rsidRDefault="00A840FB" w14:paraId="7876A553" w14:textId="4E27AD43">
      <w:pPr>
        <w:rPr>
          <w:b/>
          <w:bCs/>
        </w:rPr>
      </w:pPr>
    </w:p>
    <w:p w:rsidR="00A2263D" w:rsidP="5D520BEA" w:rsidRDefault="00A2263D" w14:paraId="77E3FD72" w14:textId="77777777">
      <w:pPr>
        <w:rPr>
          <w:b/>
          <w:bCs/>
        </w:rPr>
      </w:pPr>
    </w:p>
    <w:p w:rsidRPr="00F853C6" w:rsidR="00F853C6" w:rsidP="00F853C6" w:rsidRDefault="00F853C6" w14:paraId="55CAB134" w14:textId="77777777">
      <w:pPr>
        <w:rPr>
          <w:i/>
          <w:iCs/>
          <w:u w:val="single"/>
          <w:lang w:val="en-GB"/>
        </w:rPr>
      </w:pPr>
      <w:r w:rsidRPr="00F853C6">
        <w:rPr>
          <w:i/>
          <w:iCs/>
          <w:u w:val="single"/>
          <w:lang w:val="en-GB"/>
        </w:rPr>
        <w:t>Good practice: Amsterdam Smart City</w:t>
      </w:r>
    </w:p>
    <w:p w:rsidRPr="00F853C6" w:rsidR="00F853C6" w:rsidP="00F853C6" w:rsidRDefault="00F853C6" w14:paraId="5BFCFE51" w14:textId="77777777">
      <w:pPr>
        <w:rPr>
          <w:lang w:val="en-GB"/>
        </w:rPr>
      </w:pPr>
      <w:r w:rsidRPr="00BE6FE1">
        <w:rPr>
          <w:lang w:val="en-GB"/>
        </w:rPr>
        <w:t xml:space="preserve">Amsterdam has developed a set of ethical principles and policy guidelines for digital technology in public spaces. These include privacy by design, transparency obligations, and a requirement for independent ethics review before deploying data collection systems </w:t>
      </w:r>
      <w:r w:rsidRPr="00191393">
        <w:rPr>
          <w:lang w:val="en-GB"/>
        </w:rPr>
        <w:t>(City, z.d.)</w:t>
      </w:r>
      <w:r>
        <w:rPr>
          <w:lang w:val="en-GB"/>
        </w:rPr>
        <w:t xml:space="preserve">. </w:t>
      </w:r>
      <w:r w:rsidRPr="00BE6FE1">
        <w:rPr>
          <w:lang w:val="en-GB"/>
        </w:rPr>
        <w:t>This approach ensures that ethical and legal risks are addressed at the design stage rather than after problems have already occurred. For the Inzicht-Verlicht case, this practice suggests that governance protocols should include a review process that examines privacy and ethical risks before new data collection components are introduced.</w:t>
      </w:r>
    </w:p>
    <w:p w:rsidRPr="00F853C6" w:rsidR="00F853C6" w:rsidP="00F853C6" w:rsidRDefault="00F853C6" w14:paraId="13B54EE2" w14:textId="77777777">
      <w:pPr>
        <w:rPr>
          <w:i/>
          <w:iCs/>
          <w:u w:val="single"/>
          <w:lang w:val="en-GB"/>
        </w:rPr>
      </w:pPr>
      <w:r w:rsidRPr="00F853C6">
        <w:rPr>
          <w:i/>
          <w:iCs/>
          <w:u w:val="single"/>
          <w:lang w:val="en-GB"/>
        </w:rPr>
        <w:t>Good practice: DS4SSCC Blueprint</w:t>
      </w:r>
    </w:p>
    <w:p w:rsidRPr="00BE6FE1" w:rsidR="00F853C6" w:rsidP="00F853C6" w:rsidRDefault="00F853C6" w14:paraId="2D9FE555" w14:textId="77777777">
      <w:pPr>
        <w:rPr>
          <w:lang w:val="en-GB"/>
        </w:rPr>
      </w:pPr>
      <w:r w:rsidRPr="00BE6FE1">
        <w:rPr>
          <w:lang w:val="en-GB"/>
        </w:rPr>
        <w:t xml:space="preserve">The DS4SSCC Blueprint recommends conducting periodic re-identification tests on anonymized datasets to assess whether data can be linked back to individuals when combined with external sources (Sepp et al., 2025). This is </w:t>
      </w:r>
      <w:r>
        <w:rPr>
          <w:lang w:val="en-GB"/>
        </w:rPr>
        <w:t xml:space="preserve">a </w:t>
      </w:r>
      <w:r w:rsidRPr="00BE6FE1">
        <w:rPr>
          <w:lang w:val="en-GB"/>
        </w:rPr>
        <w:t xml:space="preserve">practice that addresses one of the legal risks identified </w:t>
      </w:r>
      <w:r>
        <w:rPr>
          <w:lang w:val="en-GB"/>
        </w:rPr>
        <w:t>for this research</w:t>
      </w:r>
      <w:r w:rsidRPr="00BE6FE1">
        <w:rPr>
          <w:lang w:val="en-GB"/>
        </w:rPr>
        <w:t>. Implementing this as a standard governance procedure in the Inzicht-Verlicht dataspace would reduce the risk of unintentional GDPR non-compliance.</w:t>
      </w:r>
    </w:p>
    <w:p w:rsidRPr="00F853C6" w:rsidR="00F853C6" w:rsidP="00F853C6" w:rsidRDefault="00F853C6" w14:paraId="6A2DAE51" w14:textId="77777777">
      <w:pPr>
        <w:rPr>
          <w:i/>
          <w:iCs/>
          <w:u w:val="single"/>
          <w:lang w:val="en-GB"/>
        </w:rPr>
      </w:pPr>
      <w:r w:rsidRPr="00F853C6">
        <w:rPr>
          <w:i/>
          <w:iCs/>
          <w:u w:val="single"/>
          <w:lang w:val="en-GB"/>
        </w:rPr>
        <w:t>Bad practice: No defined data retention policy</w:t>
      </w:r>
    </w:p>
    <w:p w:rsidRPr="00BE6FE1" w:rsidR="00F853C6" w:rsidP="00F853C6" w:rsidRDefault="00F853C6" w14:paraId="75853B5B" w14:textId="77777777">
      <w:pPr>
        <w:rPr>
          <w:lang w:val="en-GB"/>
        </w:rPr>
      </w:pPr>
      <w:r w:rsidRPr="00BE6FE1">
        <w:rPr>
          <w:lang w:val="en-GB"/>
        </w:rPr>
        <w:t>A recurring problem in smart city projects is the absence of clear data retention rules</w:t>
      </w:r>
      <w:r>
        <w:rPr>
          <w:lang w:val="en-GB"/>
        </w:rPr>
        <w:t>. This means that data is kept even if it no longer serves the original purpose.</w:t>
      </w:r>
      <w:r w:rsidRPr="00BE6FE1">
        <w:rPr>
          <w:lang w:val="en-GB"/>
        </w:rPr>
        <w:t xml:space="preserve"> This violates the storage limitation principle under GDPR Article 5.1(e) and increases the risk of data breaches or misuse over time (Wolford, 2025). In dataspaces where no formal governance framework has been put in place, retention periods are not defined. For the Inzicht-Verlicht case, this is a relevant risk since the current documentation does not specify how long collected sensor and camera data is stored or when it should be deleted.</w:t>
      </w:r>
    </w:p>
    <w:p w:rsidRPr="00F853C6" w:rsidR="00F853C6" w:rsidP="00F853C6" w:rsidRDefault="00F853C6" w14:paraId="1342FB69" w14:textId="77777777">
      <w:pPr>
        <w:rPr>
          <w:i/>
          <w:iCs/>
          <w:u w:val="single"/>
          <w:lang w:val="en-GB"/>
        </w:rPr>
      </w:pPr>
      <w:r w:rsidRPr="00F853C6">
        <w:rPr>
          <w:i/>
          <w:iCs/>
          <w:u w:val="single"/>
          <w:lang w:val="en-GB"/>
        </w:rPr>
        <w:t>Bad practice: Role overlap without safeguards</w:t>
      </w:r>
    </w:p>
    <w:p w:rsidR="00F853C6" w:rsidP="00F853C6" w:rsidRDefault="00F853C6" w14:paraId="0BB3AD9C" w14:textId="77777777">
      <w:pPr>
        <w:rPr>
          <w:lang w:val="en-GB"/>
        </w:rPr>
      </w:pPr>
      <w:r>
        <w:rPr>
          <w:lang w:val="en-GB"/>
        </w:rPr>
        <w:t>A</w:t>
      </w:r>
      <w:r w:rsidRPr="00BE6FE1">
        <w:rPr>
          <w:lang w:val="en-GB"/>
        </w:rPr>
        <w:t xml:space="preserve"> common governance mistake in public sector dataspaces is allowing the same institution to hold both the data controller and primary data user roles without independent oversight. Without this safeguard, there is no mechanism to detect or challenge inappropriate use of data (Micheli, 2022). This has led to public criticism in several European smart city projects where transparency turned out to be insufficient.</w:t>
      </w:r>
    </w:p>
    <w:p w:rsidR="00F853C6" w:rsidP="00F853C6" w:rsidRDefault="00F853C6" w14:paraId="098602AB" w14:textId="77777777">
      <w:pPr>
        <w:rPr>
          <w:lang w:val="en-GB"/>
        </w:rPr>
      </w:pPr>
    </w:p>
    <w:p w:rsidR="00F853C6" w:rsidP="00F853C6" w:rsidRDefault="00F853C6" w14:paraId="121EA0B8" w14:textId="77777777">
      <w:pPr>
        <w:rPr>
          <w:lang w:val="en-GB"/>
        </w:rPr>
      </w:pPr>
    </w:p>
    <w:p w:rsidRPr="00BE6FE1" w:rsidR="00F853C6" w:rsidP="00F853C6" w:rsidRDefault="00F853C6" w14:paraId="22A378A0" w14:textId="77777777">
      <w:pPr>
        <w:rPr>
          <w:lang w:val="en-GB"/>
        </w:rPr>
      </w:pPr>
    </w:p>
    <w:p w:rsidRPr="00500A92" w:rsidR="004A0E27" w:rsidP="004A0E27" w:rsidRDefault="004A0E27" w14:paraId="54711FB6" w14:textId="77777777">
      <w:pPr>
        <w:rPr>
          <w:b/>
          <w:bCs/>
          <w:lang w:val="en-GB"/>
        </w:rPr>
      </w:pPr>
      <w:r w:rsidRPr="00500A92">
        <w:rPr>
          <w:b/>
          <w:bCs/>
          <w:lang w:val="en-GB"/>
        </w:rPr>
        <w:t>Mitigation measures</w:t>
      </w:r>
    </w:p>
    <w:p w:rsidRPr="00500A92" w:rsidR="004A0E27" w:rsidP="004A0E27" w:rsidRDefault="004A0E27" w14:paraId="12DA7099" w14:textId="77777777">
      <w:pPr>
        <w:rPr>
          <w:lang w:val="nl-NL"/>
        </w:rPr>
      </w:pPr>
      <w:r w:rsidRPr="00500A92">
        <w:rPr>
          <w:lang w:val="en-GB"/>
        </w:rPr>
        <w:t xml:space="preserve">The identified risks largely stem from unclear roles, missing procedures and lack of governance. </w:t>
      </w:r>
      <w:r w:rsidRPr="00500A92">
        <w:rPr>
          <w:lang w:val="nl-NL"/>
        </w:rPr>
        <w:t>Key measures include:</w:t>
      </w:r>
    </w:p>
    <w:p w:rsidRPr="00500A92" w:rsidR="004A0E27" w:rsidP="004A0E27" w:rsidRDefault="00E049D1" w14:paraId="611E4B23" w14:textId="4A2BF2E8">
      <w:pPr>
        <w:numPr>
          <w:ilvl w:val="0"/>
          <w:numId w:val="49"/>
        </w:numPr>
        <w:rPr>
          <w:lang w:val="en-GB"/>
        </w:rPr>
      </w:pPr>
      <w:r>
        <w:rPr>
          <w:lang w:val="en-GB"/>
        </w:rPr>
        <w:t>D</w:t>
      </w:r>
      <w:r w:rsidRPr="00500A92" w:rsidR="004A0E27">
        <w:rPr>
          <w:lang w:val="en-GB"/>
        </w:rPr>
        <w:t xml:space="preserve">efining clear roles and responsibilities (controller, processor, oversight) </w:t>
      </w:r>
    </w:p>
    <w:p w:rsidRPr="00500A92" w:rsidR="004A0E27" w:rsidP="004A0E27" w:rsidRDefault="00E049D1" w14:paraId="62356856" w14:textId="46C97848">
      <w:pPr>
        <w:numPr>
          <w:ilvl w:val="0"/>
          <w:numId w:val="49"/>
        </w:numPr>
        <w:rPr>
          <w:lang w:val="nl-NL"/>
        </w:rPr>
      </w:pPr>
      <w:r>
        <w:rPr>
          <w:lang w:val="nl-NL"/>
        </w:rPr>
        <w:t>C</w:t>
      </w:r>
      <w:r w:rsidRPr="00500A92" w:rsidR="004A0E27">
        <w:rPr>
          <w:lang w:val="nl-NL"/>
        </w:rPr>
        <w:t xml:space="preserve">reating formal governance agreements </w:t>
      </w:r>
    </w:p>
    <w:p w:rsidRPr="00500A92" w:rsidR="004A0E27" w:rsidP="004A0E27" w:rsidRDefault="00E049D1" w14:paraId="35F0974A" w14:textId="4F01B476">
      <w:pPr>
        <w:numPr>
          <w:ilvl w:val="0"/>
          <w:numId w:val="49"/>
        </w:numPr>
        <w:rPr>
          <w:lang w:val="en-GB"/>
        </w:rPr>
      </w:pPr>
      <w:r>
        <w:rPr>
          <w:lang w:val="en-GB"/>
        </w:rPr>
        <w:t>C</w:t>
      </w:r>
      <w:r w:rsidRPr="00500A92" w:rsidR="004A0E27">
        <w:rPr>
          <w:lang w:val="en-GB"/>
        </w:rPr>
        <w:t xml:space="preserve">onducting DPIAs and re-identification risk assessments </w:t>
      </w:r>
    </w:p>
    <w:p w:rsidRPr="00500A92" w:rsidR="004A0E27" w:rsidP="004A0E27" w:rsidRDefault="00E049D1" w14:paraId="69E8C8DF" w14:textId="1741840B">
      <w:pPr>
        <w:numPr>
          <w:ilvl w:val="0"/>
          <w:numId w:val="49"/>
        </w:numPr>
        <w:rPr>
          <w:lang w:val="nl-NL"/>
        </w:rPr>
      </w:pPr>
      <w:r>
        <w:rPr>
          <w:lang w:val="nl-NL"/>
        </w:rPr>
        <w:t>A</w:t>
      </w:r>
      <w:r w:rsidRPr="00500A92" w:rsidR="004A0E27">
        <w:rPr>
          <w:lang w:val="nl-NL"/>
        </w:rPr>
        <w:t xml:space="preserve">pplying privacy by design principles </w:t>
      </w:r>
    </w:p>
    <w:p w:rsidRPr="00500A92" w:rsidR="004A0E27" w:rsidP="004A0E27" w:rsidRDefault="00E049D1" w14:paraId="226F0ECC" w14:textId="30F68406">
      <w:pPr>
        <w:numPr>
          <w:ilvl w:val="0"/>
          <w:numId w:val="49"/>
        </w:numPr>
        <w:rPr>
          <w:lang w:val="nl-NL"/>
        </w:rPr>
      </w:pPr>
      <w:r>
        <w:rPr>
          <w:lang w:val="nl-NL"/>
        </w:rPr>
        <w:t>I</w:t>
      </w:r>
      <w:r w:rsidRPr="00500A92" w:rsidR="004A0E27">
        <w:rPr>
          <w:lang w:val="nl-NL"/>
        </w:rPr>
        <w:t xml:space="preserve">mproving transparency towards citizens </w:t>
      </w:r>
    </w:p>
    <w:p w:rsidRPr="00500A92" w:rsidR="004A0E27" w:rsidP="004A0E27" w:rsidRDefault="00E049D1" w14:paraId="19975E49" w14:textId="6249A6A1">
      <w:pPr>
        <w:numPr>
          <w:ilvl w:val="0"/>
          <w:numId w:val="49"/>
        </w:numPr>
        <w:rPr>
          <w:lang w:val="en-GB"/>
        </w:rPr>
      </w:pPr>
      <w:r>
        <w:rPr>
          <w:lang w:val="en-GB"/>
        </w:rPr>
        <w:t>D</w:t>
      </w:r>
      <w:r w:rsidRPr="00500A92" w:rsidR="004A0E27">
        <w:rPr>
          <w:lang w:val="en-GB"/>
        </w:rPr>
        <w:t xml:space="preserve">ocumenting all processes to reduce dependency on individuals </w:t>
      </w:r>
    </w:p>
    <w:p w:rsidRPr="00500A92" w:rsidR="004A0E27" w:rsidP="004A0E27" w:rsidRDefault="00E049D1" w14:paraId="5F08D682" w14:textId="5EAB9AA5">
      <w:pPr>
        <w:numPr>
          <w:ilvl w:val="0"/>
          <w:numId w:val="49"/>
        </w:numPr>
        <w:rPr>
          <w:lang w:val="nl-NL"/>
        </w:rPr>
      </w:pPr>
      <w:r>
        <w:rPr>
          <w:lang w:val="nl-NL"/>
        </w:rPr>
        <w:t>A</w:t>
      </w:r>
      <w:r w:rsidRPr="00500A92" w:rsidR="004A0E27">
        <w:rPr>
          <w:lang w:val="nl-NL"/>
        </w:rPr>
        <w:t xml:space="preserve">ligning stakeholders through formal agreements </w:t>
      </w:r>
    </w:p>
    <w:p w:rsidRPr="00500A92" w:rsidR="004A0E27" w:rsidP="004A0E27" w:rsidRDefault="00E049D1" w14:paraId="711A17B5" w14:textId="7A07F92F">
      <w:pPr>
        <w:numPr>
          <w:ilvl w:val="0"/>
          <w:numId w:val="49"/>
        </w:numPr>
        <w:rPr>
          <w:lang w:val="en-GB"/>
        </w:rPr>
      </w:pPr>
      <w:r>
        <w:rPr>
          <w:lang w:val="en-GB"/>
        </w:rPr>
        <w:t>P</w:t>
      </w:r>
      <w:r w:rsidRPr="00500A92" w:rsidR="004A0E27">
        <w:rPr>
          <w:lang w:val="en-GB"/>
        </w:rPr>
        <w:t xml:space="preserve">reventing mission creep with clear data use policies </w:t>
      </w:r>
    </w:p>
    <w:p w:rsidRPr="00500A92" w:rsidR="004A0E27" w:rsidP="004A0E27" w:rsidRDefault="00E049D1" w14:paraId="271DB772" w14:textId="62F6CE1C">
      <w:pPr>
        <w:numPr>
          <w:ilvl w:val="0"/>
          <w:numId w:val="49"/>
        </w:numPr>
        <w:rPr>
          <w:lang w:val="en-GB"/>
        </w:rPr>
      </w:pPr>
      <w:r>
        <w:rPr>
          <w:lang w:val="en-GB"/>
        </w:rPr>
        <w:t>A</w:t>
      </w:r>
      <w:r w:rsidRPr="00500A92" w:rsidR="004A0E27">
        <w:rPr>
          <w:lang w:val="en-GB"/>
        </w:rPr>
        <w:t xml:space="preserve">pplying FAIR principles for data management </w:t>
      </w:r>
    </w:p>
    <w:p w:rsidRPr="00500A92" w:rsidR="004A0E27" w:rsidP="004A0E27" w:rsidRDefault="004A0E27" w14:paraId="3A134F81" w14:textId="77777777">
      <w:pPr>
        <w:rPr>
          <w:b/>
          <w:bCs/>
          <w:lang w:val="en-GB"/>
        </w:rPr>
      </w:pPr>
      <w:r w:rsidRPr="00500A92">
        <w:rPr>
          <w:b/>
          <w:bCs/>
          <w:lang w:val="en-GB"/>
        </w:rPr>
        <w:t>Conclusion</w:t>
      </w:r>
    </w:p>
    <w:p w:rsidRPr="00500A92" w:rsidR="004A0E27" w:rsidP="004A0E27" w:rsidRDefault="004A0E27" w14:paraId="11DDDF75" w14:textId="77777777">
      <w:pPr>
        <w:rPr>
          <w:lang w:val="en-GB"/>
        </w:rPr>
      </w:pPr>
      <w:r w:rsidRPr="00500A92">
        <w:rPr>
          <w:lang w:val="en-GB"/>
        </w:rPr>
        <w:t>The legal, ethical and organisational risks in the Inzicht Verlicht dataspace are strongly interconnected. Most risks arise because governance structures are not yet fully defined.</w:t>
      </w:r>
    </w:p>
    <w:p w:rsidRPr="00500A92" w:rsidR="004A0E27" w:rsidP="004A0E27" w:rsidRDefault="004A0E27" w14:paraId="07D24BF2" w14:textId="77777777">
      <w:pPr>
        <w:rPr>
          <w:lang w:val="en-GB"/>
        </w:rPr>
      </w:pPr>
      <w:r w:rsidRPr="00500A92">
        <w:rPr>
          <w:lang w:val="en-GB"/>
        </w:rPr>
        <w:t>Legal risks include GDPR non-compliance, re-identification and unclear liability. Ethical risks focus on surveillance, transparency and fairness. Organisational risks relate to governance, roles and stakeholder alignment.</w:t>
      </w:r>
    </w:p>
    <w:p w:rsidRPr="00500A92" w:rsidR="004A0E27" w:rsidP="004A0E27" w:rsidRDefault="004A0E27" w14:paraId="29B83E7C" w14:textId="77777777">
      <w:pPr>
        <w:rPr>
          <w:lang w:val="en-GB"/>
        </w:rPr>
      </w:pPr>
      <w:r w:rsidRPr="00500A92">
        <w:rPr>
          <w:lang w:val="en-GB"/>
        </w:rPr>
        <w:t>Best practices from initiatives such as Amsterdam Smart City and the DS4SSCC Blueprint show that these risks can be managed through clear governance, transparency and structured processes.</w:t>
      </w:r>
    </w:p>
    <w:p w:rsidRPr="00500A92" w:rsidR="004A0E27" w:rsidP="004A0E27" w:rsidRDefault="004A0E27" w14:paraId="1C41DE09" w14:textId="77777777">
      <w:pPr>
        <w:rPr>
          <w:lang w:val="en-GB"/>
        </w:rPr>
      </w:pPr>
      <w:r w:rsidRPr="00500A92">
        <w:rPr>
          <w:lang w:val="en-GB"/>
        </w:rPr>
        <w:t>For Inzicht Verlicht, establishing a formal governance framework is essential for responsible and sustainable data sharing.</w:t>
      </w:r>
    </w:p>
    <w:p w:rsidRPr="00F853C6" w:rsidR="00A840FB" w:rsidP="007628B0" w:rsidRDefault="00A840FB" w14:paraId="7FBD4B26" w14:textId="77777777">
      <w:pPr>
        <w:rPr>
          <w:b/>
          <w:bCs/>
          <w:lang w:val="en-GB"/>
        </w:rPr>
      </w:pPr>
    </w:p>
    <w:p w:rsidRPr="00C33C97" w:rsidR="007628B0" w:rsidP="007628B0" w:rsidRDefault="00C94320" w14:paraId="49FC4622" w14:textId="760FE604">
      <w:pPr>
        <w:rPr>
          <w:b/>
        </w:rPr>
      </w:pPr>
      <w:r>
        <w:rPr>
          <w:b/>
        </w:rPr>
        <w:br w:type="page"/>
      </w:r>
    </w:p>
    <w:p w:rsidRPr="00C33C97" w:rsidR="007628B0" w:rsidP="007628B0" w:rsidRDefault="007628B0" w14:paraId="5AF81047" w14:textId="77777777">
      <w:pPr>
        <w:rPr>
          <w:b/>
        </w:rPr>
      </w:pPr>
    </w:p>
    <w:p w:rsidR="007628B0" w:rsidP="00ED5BA8" w:rsidRDefault="00411A6C" w14:paraId="64555537" w14:textId="26014864">
      <w:pPr>
        <w:pStyle w:val="Heading2"/>
        <w:numPr>
          <w:ilvl w:val="1"/>
          <w:numId w:val="12"/>
        </w:numPr>
        <w:rPr>
          <w:rFonts w:cs="Calibri"/>
          <w:bCs/>
        </w:rPr>
      </w:pPr>
      <w:bookmarkStart w:name="_Toc231982062" w:id="31"/>
      <w:r>
        <w:rPr>
          <w:rFonts w:cs="Calibri"/>
          <w:bCs/>
        </w:rPr>
        <w:t>Field</w:t>
      </w:r>
      <w:bookmarkEnd w:id="31"/>
    </w:p>
    <w:p w:rsidRPr="001C5B7C" w:rsidR="00C94320" w:rsidP="00462B16" w:rsidRDefault="00C94320" w14:paraId="432BEB9B" w14:textId="386A380B">
      <w:pPr>
        <w:pStyle w:val="Heading3"/>
        <w:framePr w:wrap="around"/>
      </w:pPr>
      <w:bookmarkStart w:name="_Toc231982063" w:id="32"/>
      <w:r w:rsidRPr="001C5B7C">
        <w:t>Stakeholder Analysis</w:t>
      </w:r>
      <w:bookmarkEnd w:id="32"/>
    </w:p>
    <w:p w:rsidR="00211AD2" w:rsidP="00C94320" w:rsidRDefault="00211AD2" w14:paraId="5A1B4425" w14:textId="77777777">
      <w:pPr>
        <w:spacing w:after="120"/>
      </w:pPr>
    </w:p>
    <w:p w:rsidR="00211AD2" w:rsidP="00C94320" w:rsidRDefault="00211AD2" w14:paraId="495505D6" w14:textId="77777777">
      <w:pPr>
        <w:spacing w:after="120"/>
      </w:pPr>
    </w:p>
    <w:p w:rsidRPr="00DD2D1E" w:rsidR="00C94320" w:rsidP="00C94320" w:rsidRDefault="00C94320" w14:paraId="06FA8330" w14:textId="63121FA6">
      <w:pPr>
        <w:spacing w:after="120"/>
      </w:pPr>
      <w:r w:rsidRPr="00DD2D1E">
        <w:t>To make the legal, ethical and organisational risks more concrete, a stakeholder analysis was conducted. The goal is to identify who is involved in the Inzicht Verlicht dataspace, what role each stakeholder has and what specific risks could arise from their involvement. The stakeholders were identified based on the Business Advice document from the previous project group and validated against the DS4SSCC Blueprint's governance role definitions.</w:t>
      </w:r>
    </w:p>
    <w:p w:rsidR="00C94320" w:rsidP="00C94320" w:rsidRDefault="00C94320" w14:paraId="0DB28851" w14:textId="4ABE38A7">
      <w:r w:rsidRPr="00DD2D1E">
        <w:t>The DS4SSCC Blueprint defines several governance roles relevant to the Inzicht Verlicht case, including data holder, data provider, data user, governance authority, intermediary and enabling services. An important finding from the Business Advice document of the previous group is that these roles have not yet been linked to the actual stakeholders in the project. This gap forms the starting point of this analysis.</w:t>
      </w:r>
    </w:p>
    <w:p w:rsidR="00C94320" w:rsidP="00C94320" w:rsidRDefault="00C94320" w14:paraId="152436BD" w14:textId="77777777">
      <w:pPr>
        <w:rPr>
          <w:lang w:val="en-GB"/>
        </w:rPr>
      </w:pPr>
    </w:p>
    <w:p w:rsidRPr="00C94320" w:rsidR="00C94320" w:rsidP="00C94320" w:rsidRDefault="00C94320" w14:paraId="2F18652A" w14:textId="4FEE31BA">
      <w:pPr>
        <w:rPr>
          <w:b/>
          <w:bCs/>
          <w:lang w:val="en-GB"/>
        </w:rPr>
      </w:pPr>
      <w:r w:rsidRPr="001C5B7C">
        <w:rPr>
          <w:b/>
          <w:bCs/>
          <w:lang w:val="en-GB"/>
        </w:rPr>
        <w:t>Stakeholders and Risks</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000" w:firstRow="0" w:lastRow="0" w:firstColumn="0" w:lastColumn="0" w:noHBand="0" w:noVBand="0"/>
      </w:tblPr>
      <w:tblGrid>
        <w:gridCol w:w="2200"/>
        <w:gridCol w:w="2400"/>
        <w:gridCol w:w="4760"/>
      </w:tblGrid>
      <w:tr w:rsidRPr="001B5285" w:rsidR="00C94320" w:rsidTr="00D134BE" w14:paraId="09A60BF9" w14:textId="77777777">
        <w:tc>
          <w:tcPr>
            <w:tcW w:w="2200" w:type="dxa"/>
            <w:tcBorders>
              <w:top w:val="single" w:color="CCCCCC" w:sz="1" w:space="0"/>
              <w:left w:val="single" w:color="CCCCCC" w:sz="1" w:space="0"/>
              <w:bottom w:val="single" w:color="CCCCCC" w:sz="1" w:space="0"/>
              <w:right w:val="single" w:color="CCCCCC" w:sz="1" w:space="0"/>
            </w:tcBorders>
            <w:shd w:val="clear" w:color="auto" w:fill="2E75B6"/>
            <w:tcMar>
              <w:top w:w="80" w:type="dxa"/>
              <w:left w:w="120" w:type="dxa"/>
              <w:bottom w:w="80" w:type="dxa"/>
              <w:right w:w="120" w:type="dxa"/>
            </w:tcMar>
          </w:tcPr>
          <w:p w:rsidRPr="001B5285" w:rsidR="00C94320" w:rsidP="00D134BE" w:rsidRDefault="00C94320" w14:paraId="55EDC802" w14:textId="77777777">
            <w:pPr>
              <w:rPr>
                <w:sz w:val="16"/>
                <w:szCs w:val="16"/>
              </w:rPr>
            </w:pPr>
            <w:r w:rsidRPr="001B5285">
              <w:rPr>
                <w:b/>
                <w:bCs/>
                <w:color w:val="FFFFFF"/>
                <w:sz w:val="16"/>
                <w:szCs w:val="16"/>
              </w:rPr>
              <w:t>Stakeholder</w:t>
            </w:r>
          </w:p>
        </w:tc>
        <w:tc>
          <w:tcPr>
            <w:tcW w:w="2400" w:type="dxa"/>
            <w:tcBorders>
              <w:top w:val="single" w:color="CCCCCC" w:sz="1" w:space="0"/>
              <w:left w:val="single" w:color="CCCCCC" w:sz="1" w:space="0"/>
              <w:bottom w:val="single" w:color="CCCCCC" w:sz="1" w:space="0"/>
              <w:right w:val="single" w:color="CCCCCC" w:sz="1" w:space="0"/>
            </w:tcBorders>
            <w:shd w:val="clear" w:color="auto" w:fill="2E75B6"/>
            <w:tcMar>
              <w:top w:w="80" w:type="dxa"/>
              <w:left w:w="120" w:type="dxa"/>
              <w:bottom w:w="80" w:type="dxa"/>
              <w:right w:w="120" w:type="dxa"/>
            </w:tcMar>
          </w:tcPr>
          <w:p w:rsidRPr="001B5285" w:rsidR="00C94320" w:rsidP="00D134BE" w:rsidRDefault="00C94320" w14:paraId="1E1EE712" w14:textId="77777777">
            <w:pPr>
              <w:rPr>
                <w:sz w:val="16"/>
                <w:szCs w:val="16"/>
              </w:rPr>
            </w:pPr>
            <w:r w:rsidRPr="001B5285">
              <w:rPr>
                <w:b/>
                <w:bCs/>
                <w:color w:val="FFFFFF"/>
                <w:sz w:val="16"/>
                <w:szCs w:val="16"/>
              </w:rPr>
              <w:t xml:space="preserve">Role in </w:t>
            </w:r>
            <w:r>
              <w:rPr>
                <w:b/>
                <w:bCs/>
                <w:color w:val="FFFFFF"/>
                <w:sz w:val="16"/>
                <w:szCs w:val="16"/>
              </w:rPr>
              <w:t>d</w:t>
            </w:r>
            <w:r w:rsidRPr="001B5285">
              <w:rPr>
                <w:b/>
                <w:bCs/>
                <w:color w:val="FFFFFF"/>
                <w:sz w:val="16"/>
                <w:szCs w:val="16"/>
              </w:rPr>
              <w:t>ataspace</w:t>
            </w:r>
          </w:p>
        </w:tc>
        <w:tc>
          <w:tcPr>
            <w:tcW w:w="4760" w:type="dxa"/>
            <w:tcBorders>
              <w:top w:val="single" w:color="CCCCCC" w:sz="1" w:space="0"/>
              <w:left w:val="single" w:color="CCCCCC" w:sz="1" w:space="0"/>
              <w:bottom w:val="single" w:color="CCCCCC" w:sz="1" w:space="0"/>
              <w:right w:val="single" w:color="CCCCCC" w:sz="1" w:space="0"/>
            </w:tcBorders>
            <w:shd w:val="clear" w:color="auto" w:fill="2E75B6"/>
            <w:tcMar>
              <w:top w:w="80" w:type="dxa"/>
              <w:left w:w="120" w:type="dxa"/>
              <w:bottom w:w="80" w:type="dxa"/>
              <w:right w:w="120" w:type="dxa"/>
            </w:tcMar>
          </w:tcPr>
          <w:p w:rsidRPr="001B5285" w:rsidR="00C94320" w:rsidP="00D134BE" w:rsidRDefault="00C94320" w14:paraId="2293580F" w14:textId="77777777">
            <w:pPr>
              <w:rPr>
                <w:sz w:val="16"/>
                <w:szCs w:val="16"/>
              </w:rPr>
            </w:pPr>
            <w:r w:rsidRPr="001B5285">
              <w:rPr>
                <w:b/>
                <w:bCs/>
                <w:color w:val="FFFFFF"/>
                <w:sz w:val="16"/>
                <w:szCs w:val="16"/>
              </w:rPr>
              <w:t xml:space="preserve">Potential </w:t>
            </w:r>
            <w:r>
              <w:rPr>
                <w:b/>
                <w:bCs/>
                <w:color w:val="FFFFFF"/>
                <w:sz w:val="16"/>
                <w:szCs w:val="16"/>
              </w:rPr>
              <w:t>r</w:t>
            </w:r>
            <w:r w:rsidRPr="001B5285">
              <w:rPr>
                <w:b/>
                <w:bCs/>
                <w:color w:val="FFFFFF"/>
                <w:sz w:val="16"/>
                <w:szCs w:val="16"/>
              </w:rPr>
              <w:t>isks</w:t>
            </w:r>
          </w:p>
        </w:tc>
      </w:tr>
      <w:tr w:rsidRPr="001B5285" w:rsidR="00C94320" w:rsidTr="00D134BE" w14:paraId="3EDBF0C1" w14:textId="77777777">
        <w:tc>
          <w:tcPr>
            <w:tcW w:w="220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Pr="001B5285" w:rsidR="00C94320" w:rsidP="00D134BE" w:rsidRDefault="00C94320" w14:paraId="4225FEBD" w14:textId="77777777">
            <w:pPr>
              <w:rPr>
                <w:sz w:val="16"/>
                <w:szCs w:val="16"/>
              </w:rPr>
            </w:pPr>
            <w:r w:rsidRPr="001B5285">
              <w:rPr>
                <w:color w:val="000000"/>
                <w:sz w:val="16"/>
                <w:szCs w:val="16"/>
              </w:rPr>
              <w:t>Municipality of Eindhoven</w:t>
            </w:r>
          </w:p>
        </w:tc>
        <w:tc>
          <w:tcPr>
            <w:tcW w:w="240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Pr="001B5285" w:rsidR="00C94320" w:rsidP="00D134BE" w:rsidRDefault="00C94320" w14:paraId="46AA63BD" w14:textId="77777777">
            <w:pPr>
              <w:rPr>
                <w:sz w:val="16"/>
                <w:szCs w:val="16"/>
                <w:lang w:val="en-GB"/>
              </w:rPr>
            </w:pPr>
            <w:r w:rsidRPr="001B5285">
              <w:rPr>
                <w:color w:val="000000"/>
                <w:sz w:val="16"/>
                <w:szCs w:val="16"/>
                <w:lang w:val="en-GB"/>
              </w:rPr>
              <w:t>Primary data holder, governance authority and main user of the dataspace. Also serves as policymaker and funder.</w:t>
            </w:r>
          </w:p>
        </w:tc>
        <w:tc>
          <w:tcPr>
            <w:tcW w:w="476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Pr="00DD2D1E" w:rsidR="00C94320" w:rsidP="00D134BE" w:rsidRDefault="00C94320" w14:paraId="11C123A7" w14:textId="77777777">
            <w:pPr>
              <w:rPr>
                <w:color w:val="000000"/>
                <w:sz w:val="16"/>
                <w:szCs w:val="16"/>
                <w:lang w:val="en-GB"/>
              </w:rPr>
            </w:pPr>
            <w:r w:rsidRPr="00DD2D1E">
              <w:rPr>
                <w:color w:val="000000"/>
                <w:sz w:val="16"/>
                <w:szCs w:val="16"/>
                <w:lang w:val="en-GB"/>
              </w:rPr>
              <w:t xml:space="preserve">Dual role conflict: Acts as both data controller and primary data user. This creates a potential conflict of interest with no independent oversight. </w:t>
            </w:r>
          </w:p>
          <w:p w:rsidRPr="001B5285" w:rsidR="00C94320" w:rsidP="00D134BE" w:rsidRDefault="00C94320" w14:paraId="398176EA" w14:textId="77777777">
            <w:pPr>
              <w:rPr>
                <w:color w:val="000000"/>
                <w:sz w:val="16"/>
                <w:szCs w:val="16"/>
                <w:lang w:val="en-GB"/>
              </w:rPr>
            </w:pPr>
          </w:p>
          <w:p w:rsidRPr="00DD2D1E" w:rsidR="00C94320" w:rsidP="00D134BE" w:rsidRDefault="00C94320" w14:paraId="36BBC028" w14:textId="77777777">
            <w:pPr>
              <w:rPr>
                <w:color w:val="000000"/>
                <w:sz w:val="16"/>
                <w:szCs w:val="16"/>
                <w:lang w:val="en-GB"/>
              </w:rPr>
            </w:pPr>
            <w:r w:rsidRPr="00DD2D1E">
              <w:rPr>
                <w:color w:val="000000"/>
                <w:sz w:val="16"/>
                <w:szCs w:val="16"/>
                <w:lang w:val="en-GB"/>
              </w:rPr>
              <w:t xml:space="preserve">Risk of mission creep if policies allow reuse of data for unintended purposes. </w:t>
            </w:r>
          </w:p>
          <w:p w:rsidRPr="001B5285" w:rsidR="00C94320" w:rsidP="00D134BE" w:rsidRDefault="00C94320" w14:paraId="5BC78D81" w14:textId="77777777">
            <w:pPr>
              <w:rPr>
                <w:color w:val="000000"/>
                <w:sz w:val="16"/>
                <w:szCs w:val="16"/>
                <w:lang w:val="en-GB"/>
              </w:rPr>
            </w:pPr>
          </w:p>
          <w:p w:rsidRPr="00DD2D1E" w:rsidR="00C94320" w:rsidP="00D134BE" w:rsidRDefault="00C94320" w14:paraId="118C78F0" w14:textId="77777777">
            <w:pPr>
              <w:rPr>
                <w:color w:val="000000"/>
                <w:sz w:val="16"/>
                <w:szCs w:val="16"/>
                <w:lang w:val="en-GB"/>
              </w:rPr>
            </w:pPr>
            <w:r w:rsidRPr="00DD2D1E">
              <w:rPr>
                <w:color w:val="000000"/>
                <w:sz w:val="16"/>
                <w:szCs w:val="16"/>
                <w:lang w:val="en-GB"/>
              </w:rPr>
              <w:t xml:space="preserve">Lack of clearly defined accountability when governance decisions must be made. </w:t>
            </w:r>
          </w:p>
          <w:p w:rsidRPr="001B5285" w:rsidR="00C94320" w:rsidP="00D134BE" w:rsidRDefault="00C94320" w14:paraId="55085851" w14:textId="77777777">
            <w:pPr>
              <w:rPr>
                <w:color w:val="000000"/>
                <w:sz w:val="16"/>
                <w:szCs w:val="16"/>
                <w:lang w:val="en-GB"/>
              </w:rPr>
            </w:pPr>
          </w:p>
          <w:p w:rsidRPr="00DD2D1E" w:rsidR="00C94320" w:rsidP="00D134BE" w:rsidRDefault="00C94320" w14:paraId="3C31000E" w14:textId="77777777">
            <w:pPr>
              <w:rPr>
                <w:sz w:val="16"/>
                <w:szCs w:val="16"/>
                <w:lang w:val="en-GB"/>
              </w:rPr>
            </w:pPr>
            <w:r w:rsidRPr="00DD2D1E">
              <w:rPr>
                <w:color w:val="000000"/>
                <w:sz w:val="16"/>
                <w:szCs w:val="16"/>
                <w:lang w:val="en-GB"/>
              </w:rPr>
              <w:t>Possible GDPR non-compliance if personal data in traffic/air quality data is not properly assessed for the re-identification risk.</w:t>
            </w:r>
          </w:p>
        </w:tc>
      </w:tr>
      <w:tr w:rsidRPr="001B5285" w:rsidR="00C94320" w:rsidTr="00D134BE" w14:paraId="3C8A9790" w14:textId="77777777">
        <w:tc>
          <w:tcPr>
            <w:tcW w:w="2200" w:type="dxa"/>
            <w:tcBorders>
              <w:top w:val="single" w:color="CCCCCC" w:sz="1" w:space="0"/>
              <w:left w:val="single" w:color="CCCCCC" w:sz="1" w:space="0"/>
              <w:bottom w:val="single" w:color="CCCCCC" w:sz="1" w:space="0"/>
              <w:right w:val="single" w:color="CCCCCC" w:sz="1" w:space="0"/>
            </w:tcBorders>
            <w:shd w:val="clear" w:color="auto" w:fill="EBF3FB"/>
            <w:tcMar>
              <w:top w:w="80" w:type="dxa"/>
              <w:left w:w="120" w:type="dxa"/>
              <w:bottom w:w="80" w:type="dxa"/>
              <w:right w:w="120" w:type="dxa"/>
            </w:tcMar>
          </w:tcPr>
          <w:p w:rsidRPr="001B5285" w:rsidR="00C94320" w:rsidP="00D134BE" w:rsidRDefault="00C94320" w14:paraId="16AFE386" w14:textId="77777777">
            <w:pPr>
              <w:rPr>
                <w:sz w:val="16"/>
                <w:szCs w:val="16"/>
              </w:rPr>
            </w:pPr>
            <w:r w:rsidRPr="001B5285">
              <w:rPr>
                <w:color w:val="000000"/>
                <w:sz w:val="16"/>
                <w:szCs w:val="16"/>
              </w:rPr>
              <w:t>RHDHV</w:t>
            </w:r>
          </w:p>
        </w:tc>
        <w:tc>
          <w:tcPr>
            <w:tcW w:w="2400" w:type="dxa"/>
            <w:tcBorders>
              <w:top w:val="single" w:color="CCCCCC" w:sz="1" w:space="0"/>
              <w:left w:val="single" w:color="CCCCCC" w:sz="1" w:space="0"/>
              <w:bottom w:val="single" w:color="CCCCCC" w:sz="1" w:space="0"/>
              <w:right w:val="single" w:color="CCCCCC" w:sz="1" w:space="0"/>
            </w:tcBorders>
            <w:shd w:val="clear" w:color="auto" w:fill="EBF3FB"/>
            <w:tcMar>
              <w:top w:w="80" w:type="dxa"/>
              <w:left w:w="120" w:type="dxa"/>
              <w:bottom w:w="80" w:type="dxa"/>
              <w:right w:w="120" w:type="dxa"/>
            </w:tcMar>
          </w:tcPr>
          <w:p w:rsidRPr="001B5285" w:rsidR="00C94320" w:rsidP="00D134BE" w:rsidRDefault="00C94320" w14:paraId="74B84320" w14:textId="77777777">
            <w:pPr>
              <w:rPr>
                <w:sz w:val="16"/>
                <w:szCs w:val="16"/>
                <w:lang w:val="en-GB"/>
              </w:rPr>
            </w:pPr>
            <w:r w:rsidRPr="001B5285">
              <w:rPr>
                <w:color w:val="000000"/>
                <w:sz w:val="16"/>
                <w:szCs w:val="16"/>
                <w:lang w:val="en-GB"/>
              </w:rPr>
              <w:t>Data validation and analysis partner. This partner processes and interprets sensor data collected at the J.F. Kennedylaan intersection.</w:t>
            </w:r>
          </w:p>
        </w:tc>
        <w:tc>
          <w:tcPr>
            <w:tcW w:w="4760" w:type="dxa"/>
            <w:tcBorders>
              <w:top w:val="single" w:color="CCCCCC" w:sz="1" w:space="0"/>
              <w:left w:val="single" w:color="CCCCCC" w:sz="1" w:space="0"/>
              <w:bottom w:val="single" w:color="CCCCCC" w:sz="1" w:space="0"/>
              <w:right w:val="single" w:color="CCCCCC" w:sz="1" w:space="0"/>
            </w:tcBorders>
            <w:shd w:val="clear" w:color="auto" w:fill="EBF3FB"/>
            <w:tcMar>
              <w:top w:w="80" w:type="dxa"/>
              <w:left w:w="120" w:type="dxa"/>
              <w:bottom w:w="80" w:type="dxa"/>
              <w:right w:w="120" w:type="dxa"/>
            </w:tcMar>
          </w:tcPr>
          <w:p w:rsidRPr="00DD2D1E" w:rsidR="00C94320" w:rsidP="00D134BE" w:rsidRDefault="00C94320" w14:paraId="5BF40C59" w14:textId="77777777">
            <w:pPr>
              <w:rPr>
                <w:color w:val="000000"/>
                <w:sz w:val="16"/>
                <w:szCs w:val="16"/>
                <w:lang w:val="en-GB"/>
              </w:rPr>
            </w:pPr>
            <w:r w:rsidRPr="00DD2D1E">
              <w:rPr>
                <w:color w:val="000000"/>
                <w:sz w:val="16"/>
                <w:szCs w:val="16"/>
                <w:lang w:val="en-GB"/>
              </w:rPr>
              <w:t xml:space="preserve">Unclear data processing role: If RHDHV processes personal or re-identifiable data, they must be designated as a data processor with a data processing agreement. </w:t>
            </w:r>
          </w:p>
        </w:tc>
      </w:tr>
      <w:tr w:rsidRPr="001B5285" w:rsidR="00C94320" w:rsidTr="00D134BE" w14:paraId="1E6C9006" w14:textId="77777777">
        <w:tc>
          <w:tcPr>
            <w:tcW w:w="220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Pr="001B5285" w:rsidR="00C94320" w:rsidP="00D134BE" w:rsidRDefault="00C94320" w14:paraId="2BE53200" w14:textId="77777777">
            <w:pPr>
              <w:rPr>
                <w:sz w:val="16"/>
                <w:szCs w:val="16"/>
              </w:rPr>
            </w:pPr>
            <w:r w:rsidRPr="001B5285">
              <w:rPr>
                <w:color w:val="000000"/>
                <w:sz w:val="16"/>
                <w:szCs w:val="16"/>
              </w:rPr>
              <w:t>ViNotion</w:t>
            </w:r>
          </w:p>
        </w:tc>
        <w:tc>
          <w:tcPr>
            <w:tcW w:w="240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Pr="001B5285" w:rsidR="00C94320" w:rsidP="00D134BE" w:rsidRDefault="00C94320" w14:paraId="12BBF6CE" w14:textId="77777777">
            <w:pPr>
              <w:rPr>
                <w:sz w:val="16"/>
                <w:szCs w:val="16"/>
                <w:lang w:val="en-GB"/>
              </w:rPr>
            </w:pPr>
            <w:r w:rsidRPr="001B5285">
              <w:rPr>
                <w:color w:val="000000"/>
                <w:sz w:val="16"/>
                <w:szCs w:val="16"/>
                <w:lang w:val="en-GB"/>
              </w:rPr>
              <w:t>Provides traffic data via camera systems at the J.F. Kennedylaan.</w:t>
            </w:r>
          </w:p>
        </w:tc>
        <w:tc>
          <w:tcPr>
            <w:tcW w:w="476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Pr="00DD2D1E" w:rsidR="00C94320" w:rsidP="00D134BE" w:rsidRDefault="00C94320" w14:paraId="4FF7F748" w14:textId="77777777">
            <w:pPr>
              <w:rPr>
                <w:color w:val="000000"/>
                <w:sz w:val="16"/>
                <w:szCs w:val="16"/>
                <w:lang w:val="en-GB"/>
              </w:rPr>
            </w:pPr>
            <w:r w:rsidRPr="00DD2D1E">
              <w:rPr>
                <w:color w:val="000000"/>
                <w:sz w:val="16"/>
                <w:szCs w:val="16"/>
                <w:lang w:val="en-GB"/>
              </w:rPr>
              <w:t xml:space="preserve">Camera data carries the re-identification risk. Anonymised data can potentially reveal individual movement patterns when it is combined with other datasets. If ViNotion retains footage or data beyond the agreed purpose, this may violate GDPR Article 5.1(b) (purpose limitation) and 5.1(e) (storage limitation). </w:t>
            </w:r>
          </w:p>
          <w:p w:rsidRPr="001B5285" w:rsidR="00C94320" w:rsidP="00D134BE" w:rsidRDefault="00C94320" w14:paraId="76D652B4" w14:textId="77777777">
            <w:pPr>
              <w:rPr>
                <w:color w:val="000000"/>
                <w:sz w:val="16"/>
                <w:szCs w:val="16"/>
                <w:lang w:val="en-GB"/>
              </w:rPr>
            </w:pPr>
          </w:p>
          <w:p w:rsidRPr="00DD2D1E" w:rsidR="00C94320" w:rsidP="00D134BE" w:rsidRDefault="00C94320" w14:paraId="172FC385" w14:textId="77777777">
            <w:pPr>
              <w:rPr>
                <w:sz w:val="16"/>
                <w:szCs w:val="16"/>
                <w:lang w:val="en-GB"/>
              </w:rPr>
            </w:pPr>
            <w:r w:rsidRPr="00DD2D1E">
              <w:rPr>
                <w:color w:val="000000"/>
                <w:sz w:val="16"/>
                <w:szCs w:val="16"/>
                <w:lang w:val="en-GB"/>
              </w:rPr>
              <w:t xml:space="preserve">Without clear data-sharing agreements, the scope of ViNotion's data access and usage rights is not formally </w:t>
            </w:r>
            <w:r>
              <w:rPr>
                <w:color w:val="000000"/>
                <w:sz w:val="16"/>
                <w:szCs w:val="16"/>
                <w:lang w:val="en-GB"/>
              </w:rPr>
              <w:t>defined</w:t>
            </w:r>
            <w:r w:rsidRPr="00DD2D1E">
              <w:rPr>
                <w:color w:val="000000"/>
                <w:sz w:val="16"/>
                <w:szCs w:val="16"/>
                <w:lang w:val="en-GB"/>
              </w:rPr>
              <w:t>.</w:t>
            </w:r>
          </w:p>
        </w:tc>
      </w:tr>
      <w:tr w:rsidRPr="001B5285" w:rsidR="00C94320" w:rsidTr="00D134BE" w14:paraId="292165D2" w14:textId="77777777">
        <w:tc>
          <w:tcPr>
            <w:tcW w:w="220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Pr="001B5285" w:rsidR="00C94320" w:rsidP="00D134BE" w:rsidRDefault="00C94320" w14:paraId="45DDED54" w14:textId="77777777">
            <w:pPr>
              <w:rPr>
                <w:color w:val="000000"/>
                <w:sz w:val="16"/>
                <w:szCs w:val="16"/>
              </w:rPr>
            </w:pPr>
            <w:r>
              <w:rPr>
                <w:color w:val="000000"/>
                <w:sz w:val="16"/>
                <w:szCs w:val="16"/>
              </w:rPr>
              <w:t>Sorama</w:t>
            </w:r>
          </w:p>
        </w:tc>
        <w:tc>
          <w:tcPr>
            <w:tcW w:w="240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Pr="001B5285" w:rsidR="00C94320" w:rsidP="00D134BE" w:rsidRDefault="00C94320" w14:paraId="6DE67D5D" w14:textId="77777777">
            <w:pPr>
              <w:rPr>
                <w:color w:val="000000"/>
                <w:sz w:val="16"/>
                <w:szCs w:val="16"/>
                <w:lang w:val="en-GB"/>
              </w:rPr>
            </w:pPr>
            <w:r>
              <w:rPr>
                <w:color w:val="000000"/>
                <w:sz w:val="16"/>
                <w:szCs w:val="16"/>
                <w:lang w:val="en-GB"/>
              </w:rPr>
              <w:t>Provides sound data via microphones at the J.F. Kennedylaan</w:t>
            </w:r>
          </w:p>
        </w:tc>
        <w:tc>
          <w:tcPr>
            <w:tcW w:w="476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Pr="00DD2D1E" w:rsidR="00C94320" w:rsidP="00D134BE" w:rsidRDefault="00C94320" w14:paraId="3E644E6C" w14:textId="77777777">
            <w:pPr>
              <w:rPr>
                <w:color w:val="000000"/>
                <w:sz w:val="16"/>
                <w:szCs w:val="16"/>
                <w:lang w:val="en-GB"/>
              </w:rPr>
            </w:pPr>
            <w:r>
              <w:rPr>
                <w:color w:val="000000"/>
                <w:sz w:val="16"/>
                <w:szCs w:val="16"/>
                <w:lang w:val="en-GB"/>
              </w:rPr>
              <w:t>Data provider whose role and responsibilities have not yet been formally mapped to the DS4SSCC Blueprint governance roles.</w:t>
            </w:r>
          </w:p>
        </w:tc>
      </w:tr>
      <w:tr w:rsidRPr="001B5285" w:rsidR="00C94320" w:rsidTr="00D134BE" w14:paraId="2A3F54E3" w14:textId="77777777">
        <w:tc>
          <w:tcPr>
            <w:tcW w:w="220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Pr="00CE1829" w:rsidR="00C94320" w:rsidP="00D134BE" w:rsidRDefault="00C94320" w14:paraId="014BE1F0" w14:textId="77777777">
            <w:pPr>
              <w:rPr>
                <w:sz w:val="16"/>
                <w:szCs w:val="16"/>
                <w:lang w:val="pt-PT"/>
              </w:rPr>
            </w:pPr>
            <w:r w:rsidRPr="00CE1829">
              <w:rPr>
                <w:color w:val="000000"/>
                <w:sz w:val="16"/>
                <w:szCs w:val="16"/>
                <w:lang w:val="pt-PT"/>
              </w:rPr>
              <w:t>EU Parties via DS4SSCC/CITCOM</w:t>
            </w:r>
          </w:p>
        </w:tc>
        <w:tc>
          <w:tcPr>
            <w:tcW w:w="240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Pr="001B5285" w:rsidR="00C94320" w:rsidP="00D134BE" w:rsidRDefault="00C94320" w14:paraId="572773F3" w14:textId="77777777">
            <w:pPr>
              <w:rPr>
                <w:sz w:val="16"/>
                <w:szCs w:val="16"/>
                <w:lang w:val="en-GB"/>
              </w:rPr>
            </w:pPr>
            <w:r w:rsidRPr="001B5285">
              <w:rPr>
                <w:color w:val="000000"/>
                <w:sz w:val="16"/>
                <w:szCs w:val="16"/>
                <w:lang w:val="en-GB"/>
              </w:rPr>
              <w:t xml:space="preserve">Provide European-level governance framework, standards and oversight. </w:t>
            </w:r>
          </w:p>
        </w:tc>
        <w:tc>
          <w:tcPr>
            <w:tcW w:w="476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Pr="00F66F36" w:rsidR="00C94320" w:rsidP="00D134BE" w:rsidRDefault="00C94320" w14:paraId="1F982139" w14:textId="77777777">
            <w:pPr>
              <w:rPr>
                <w:color w:val="000000"/>
                <w:sz w:val="16"/>
                <w:szCs w:val="16"/>
                <w:lang w:val="en-GB"/>
              </w:rPr>
            </w:pPr>
            <w:r w:rsidRPr="00F66F36">
              <w:rPr>
                <w:color w:val="000000"/>
                <w:sz w:val="16"/>
                <w:szCs w:val="16"/>
                <w:lang w:val="en-GB"/>
              </w:rPr>
              <w:t xml:space="preserve">Alignment gaps: The DS4SSCC Blueprint roles have not yet been formally linked to Inzicht Verlicht stakeholders. Without this, the project does not fully comply with the governance framework it is part of. </w:t>
            </w:r>
            <w:r>
              <w:rPr>
                <w:color w:val="000000"/>
                <w:sz w:val="16"/>
                <w:szCs w:val="16"/>
                <w:lang w:val="en-GB"/>
              </w:rPr>
              <w:t>Local governance decisions may differ from EU-level requirements.</w:t>
            </w:r>
          </w:p>
        </w:tc>
      </w:tr>
      <w:tr w:rsidRPr="001B5285" w:rsidR="00C94320" w:rsidTr="00D134BE" w14:paraId="55A418A2" w14:textId="77777777">
        <w:tc>
          <w:tcPr>
            <w:tcW w:w="2200" w:type="dxa"/>
            <w:tcBorders>
              <w:top w:val="single" w:color="CCCCCC" w:sz="1" w:space="0"/>
              <w:left w:val="single" w:color="CCCCCC" w:sz="1" w:space="0"/>
              <w:bottom w:val="single" w:color="CCCCCC" w:sz="1" w:space="0"/>
              <w:right w:val="single" w:color="CCCCCC" w:sz="1" w:space="0"/>
            </w:tcBorders>
            <w:shd w:val="clear" w:color="auto" w:fill="EBF3FB"/>
            <w:tcMar>
              <w:top w:w="80" w:type="dxa"/>
              <w:left w:w="120" w:type="dxa"/>
              <w:bottom w:w="80" w:type="dxa"/>
              <w:right w:w="120" w:type="dxa"/>
            </w:tcMar>
          </w:tcPr>
          <w:p w:rsidRPr="001B5285" w:rsidR="00C94320" w:rsidP="00D134BE" w:rsidRDefault="00C94320" w14:paraId="5AA83F63" w14:textId="77777777">
            <w:pPr>
              <w:rPr>
                <w:sz w:val="16"/>
                <w:szCs w:val="16"/>
                <w:lang w:val="en-GB"/>
              </w:rPr>
            </w:pPr>
            <w:r w:rsidRPr="001B5285">
              <w:rPr>
                <w:color w:val="000000"/>
                <w:sz w:val="16"/>
                <w:szCs w:val="16"/>
                <w:lang w:val="en-GB"/>
              </w:rPr>
              <w:t>Research Institutions</w:t>
            </w:r>
          </w:p>
        </w:tc>
        <w:tc>
          <w:tcPr>
            <w:tcW w:w="2400" w:type="dxa"/>
            <w:tcBorders>
              <w:top w:val="single" w:color="CCCCCC" w:sz="1" w:space="0"/>
              <w:left w:val="single" w:color="CCCCCC" w:sz="1" w:space="0"/>
              <w:bottom w:val="single" w:color="CCCCCC" w:sz="1" w:space="0"/>
              <w:right w:val="single" w:color="CCCCCC" w:sz="1" w:space="0"/>
            </w:tcBorders>
            <w:shd w:val="clear" w:color="auto" w:fill="EBF3FB"/>
            <w:tcMar>
              <w:top w:w="80" w:type="dxa"/>
              <w:left w:w="120" w:type="dxa"/>
              <w:bottom w:w="80" w:type="dxa"/>
              <w:right w:w="120" w:type="dxa"/>
            </w:tcMar>
          </w:tcPr>
          <w:p w:rsidRPr="001B5285" w:rsidR="00C94320" w:rsidP="00D134BE" w:rsidRDefault="00C94320" w14:paraId="03949847" w14:textId="77777777">
            <w:pPr>
              <w:rPr>
                <w:sz w:val="16"/>
                <w:szCs w:val="16"/>
                <w:lang w:val="en-GB"/>
              </w:rPr>
            </w:pPr>
            <w:r w:rsidRPr="001B5285">
              <w:rPr>
                <w:color w:val="000000"/>
                <w:sz w:val="16"/>
                <w:szCs w:val="16"/>
                <w:lang w:val="en-GB"/>
              </w:rPr>
              <w:t xml:space="preserve">Partners providing research capacity. </w:t>
            </w:r>
          </w:p>
        </w:tc>
        <w:tc>
          <w:tcPr>
            <w:tcW w:w="4760" w:type="dxa"/>
            <w:tcBorders>
              <w:top w:val="single" w:color="CCCCCC" w:sz="1" w:space="0"/>
              <w:left w:val="single" w:color="CCCCCC" w:sz="1" w:space="0"/>
              <w:bottom w:val="single" w:color="CCCCCC" w:sz="1" w:space="0"/>
              <w:right w:val="single" w:color="CCCCCC" w:sz="1" w:space="0"/>
            </w:tcBorders>
            <w:shd w:val="clear" w:color="auto" w:fill="EBF3FB"/>
            <w:tcMar>
              <w:top w:w="80" w:type="dxa"/>
              <w:left w:w="120" w:type="dxa"/>
              <w:bottom w:w="80" w:type="dxa"/>
              <w:right w:w="120" w:type="dxa"/>
            </w:tcMar>
          </w:tcPr>
          <w:p w:rsidRPr="00F66F36" w:rsidR="00C94320" w:rsidP="00D134BE" w:rsidRDefault="00C94320" w14:paraId="76A29110" w14:textId="77777777">
            <w:pPr>
              <w:rPr>
                <w:sz w:val="16"/>
                <w:szCs w:val="16"/>
                <w:lang w:val="en-GB"/>
              </w:rPr>
            </w:pPr>
            <w:r w:rsidRPr="00F66F36">
              <w:rPr>
                <w:color w:val="000000"/>
                <w:sz w:val="16"/>
                <w:szCs w:val="16"/>
                <w:lang w:val="en-GB"/>
              </w:rPr>
              <w:t xml:space="preserve">Data access beyond project scope: Research parties may request or use data in ways that go beyond the original purpose of the Inzicht Verlicht case. Without agreements that limit the research use, mission creep is a real risk. </w:t>
            </w:r>
          </w:p>
        </w:tc>
      </w:tr>
    </w:tbl>
    <w:p w:rsidR="00C94320" w:rsidP="00C94320" w:rsidRDefault="00C94320" w14:paraId="1351E86E" w14:textId="77777777">
      <w:pPr>
        <w:rPr>
          <w:b/>
          <w:bCs/>
          <w:lang w:val="en-GB"/>
        </w:rPr>
      </w:pPr>
    </w:p>
    <w:p w:rsidRPr="001C5B7C" w:rsidR="00C94320" w:rsidP="00C94320" w:rsidRDefault="00C94320" w14:paraId="484E74D0" w14:textId="77777777">
      <w:pPr>
        <w:rPr>
          <w:b/>
          <w:bCs/>
          <w:lang w:val="en-GB"/>
        </w:rPr>
      </w:pPr>
      <w:r w:rsidRPr="001C5B7C">
        <w:rPr>
          <w:b/>
          <w:bCs/>
          <w:lang w:val="en-GB"/>
        </w:rPr>
        <w:t>Conclusion</w:t>
      </w:r>
    </w:p>
    <w:p w:rsidRPr="00724661" w:rsidR="00C94320" w:rsidP="00C94320" w:rsidRDefault="00C94320" w14:paraId="5D1D11D0" w14:textId="04E439E4">
      <w:r w:rsidRPr="001C5B7C">
        <w:rPr>
          <w:lang w:val="en-GB"/>
        </w:rPr>
        <w:t xml:space="preserve">The stakeholder analysis shows that the Inzicht Verlicht dataspace involves </w:t>
      </w:r>
      <w:r>
        <w:rPr>
          <w:lang w:val="en-GB"/>
        </w:rPr>
        <w:t xml:space="preserve">parties </w:t>
      </w:r>
      <w:r w:rsidRPr="001C5B7C">
        <w:rPr>
          <w:lang w:val="en-GB"/>
        </w:rPr>
        <w:t>with different data roles and risk profiles. The most critical gaps are the missing formal agreements between partners, the undefined accountability structure</w:t>
      </w:r>
      <w:r>
        <w:rPr>
          <w:lang w:val="en-GB"/>
        </w:rPr>
        <w:t xml:space="preserve"> </w:t>
      </w:r>
      <w:r w:rsidRPr="001C5B7C">
        <w:rPr>
          <w:lang w:val="en-GB"/>
        </w:rPr>
        <w:t xml:space="preserve">and the absence of a role mapping to DS4SSCC governance standards. These gaps must be addressed in the governance framework to ensure that each stakeholder understands their responsibilities and </w:t>
      </w:r>
      <w:r>
        <w:rPr>
          <w:lang w:val="en-GB"/>
        </w:rPr>
        <w:t>accountabilities.</w:t>
      </w:r>
    </w:p>
    <w:p w:rsidR="007628B0" w:rsidP="00ED5BA8" w:rsidRDefault="00547D2F" w14:paraId="47E8E077" w14:textId="52838C20">
      <w:pPr>
        <w:pStyle w:val="Heading2"/>
        <w:numPr>
          <w:ilvl w:val="1"/>
          <w:numId w:val="12"/>
        </w:numPr>
        <w:rPr>
          <w:rFonts w:cs="Calibri"/>
          <w:bCs/>
        </w:rPr>
      </w:pPr>
      <w:bookmarkStart w:name="_Toc231982064" w:id="33"/>
      <w:r>
        <w:rPr>
          <w:rFonts w:cs="Calibri"/>
          <w:bCs/>
        </w:rPr>
        <w:t>Showroom</w:t>
      </w:r>
      <w:bookmarkEnd w:id="33"/>
    </w:p>
    <w:p w:rsidRPr="001C5B7C" w:rsidR="00B82490" w:rsidP="00462B16" w:rsidRDefault="00B82490" w14:paraId="124C8B70" w14:textId="77777777">
      <w:pPr>
        <w:pStyle w:val="Heading3"/>
        <w:framePr w:wrap="around"/>
      </w:pPr>
      <w:bookmarkStart w:name="_Toc231982065" w:id="34"/>
      <w:r w:rsidRPr="001C5B7C">
        <w:t>Guideline Conformity Analysis</w:t>
      </w:r>
      <w:bookmarkEnd w:id="34"/>
    </w:p>
    <w:p w:rsidR="00462B16" w:rsidP="00B82490" w:rsidRDefault="00462B16" w14:paraId="70438A79" w14:textId="77777777">
      <w:pPr>
        <w:spacing w:after="120"/>
        <w:rPr>
          <w:lang w:val="en-GB"/>
        </w:rPr>
      </w:pPr>
    </w:p>
    <w:p w:rsidR="00462B16" w:rsidP="00B82490" w:rsidRDefault="00462B16" w14:paraId="087AD722" w14:textId="77777777">
      <w:pPr>
        <w:spacing w:after="120"/>
        <w:rPr>
          <w:lang w:val="en-GB"/>
        </w:rPr>
      </w:pPr>
    </w:p>
    <w:p w:rsidR="00B82490" w:rsidP="00B82490" w:rsidRDefault="00B82490" w14:paraId="1D8DF52C" w14:textId="77777777">
      <w:pPr>
        <w:spacing w:after="120"/>
        <w:rPr>
          <w:lang w:val="en-GB"/>
        </w:rPr>
      </w:pPr>
      <w:r w:rsidRPr="001C5B7C">
        <w:rPr>
          <w:lang w:val="en-GB"/>
        </w:rPr>
        <w:t>To assess how well the Inzicht Verlicht dataspace currently aligns with relevant governance standards, the</w:t>
      </w:r>
      <w:r>
        <w:rPr>
          <w:lang w:val="en-GB"/>
        </w:rPr>
        <w:t xml:space="preserve"> identified</w:t>
      </w:r>
      <w:r w:rsidRPr="001C5B7C">
        <w:rPr>
          <w:lang w:val="en-GB"/>
        </w:rPr>
        <w:t xml:space="preserve"> risks</w:t>
      </w:r>
      <w:r>
        <w:rPr>
          <w:lang w:val="en-GB"/>
        </w:rPr>
        <w:t xml:space="preserve"> were evaluated against four key guidelines and frameworks on the processing of sensor and mobility data by the Eindhoven municipality.</w:t>
      </w:r>
    </w:p>
    <w:p w:rsidRPr="00F66F36" w:rsidR="00B82490" w:rsidP="00B82490" w:rsidRDefault="00B82490" w14:paraId="6A035646" w14:textId="77777777">
      <w:pPr>
        <w:spacing w:after="120"/>
        <w:rPr>
          <w:sz w:val="28"/>
          <w:szCs w:val="28"/>
          <w:lang w:val="en-GB"/>
        </w:rPr>
      </w:pPr>
      <w:r w:rsidRPr="00F66F36">
        <w:t>This analysis helps to ensure that a governance framework is credible and effective when it comes to privacy, reliability and ethical issues. For the Inzicht Verlicht case, this analysis serves as a tool to identify where the current situation falls short and which gaps the governance framework needs to address.</w:t>
      </w:r>
    </w:p>
    <w:p w:rsidR="00B82490" w:rsidP="00B82490" w:rsidRDefault="00B82490" w14:paraId="1D11AB9A" w14:textId="77777777">
      <w:pPr>
        <w:spacing w:after="120"/>
      </w:pPr>
    </w:p>
    <w:p w:rsidR="00B82490" w:rsidRDefault="00B82490" w14:paraId="63A240CE" w14:textId="77777777">
      <w:r>
        <w:br w:type="page"/>
      </w:r>
    </w:p>
    <w:p w:rsidRPr="001C5B7C" w:rsidR="00B82490" w:rsidP="00B82490" w:rsidRDefault="00B82490" w14:paraId="3948F478" w14:textId="723E85DC">
      <w:pPr>
        <w:spacing w:after="120"/>
      </w:pPr>
      <w:r w:rsidRPr="001C5B7C">
        <w:t>The guidelines selected are:</w:t>
      </w:r>
    </w:p>
    <w:p w:rsidRPr="001C5B7C" w:rsidR="00B82490" w:rsidP="00B82490" w:rsidRDefault="00B82490" w14:paraId="3ED76A5F" w14:textId="77777777">
      <w:pPr>
        <w:pStyle w:val="ListParagraph"/>
        <w:numPr>
          <w:ilvl w:val="0"/>
          <w:numId w:val="50"/>
        </w:numPr>
        <w:spacing w:after="80" w:line="240" w:lineRule="auto"/>
        <w:contextualSpacing w:val="0"/>
        <w:rPr>
          <w:lang w:val="en-GB"/>
        </w:rPr>
      </w:pPr>
      <w:r w:rsidRPr="001C5B7C">
        <w:rPr>
          <w:lang w:val="en-GB"/>
        </w:rPr>
        <w:t xml:space="preserve">GDPR (Regulation (EU) 2016/679) </w:t>
      </w:r>
      <w:r>
        <w:rPr>
          <w:lang w:val="en-GB"/>
        </w:rPr>
        <w:t>-</w:t>
      </w:r>
      <w:r w:rsidRPr="001C5B7C">
        <w:rPr>
          <w:lang w:val="en-GB"/>
        </w:rPr>
        <w:t xml:space="preserve"> the primary legal framework for personal data processing in the EU</w:t>
      </w:r>
    </w:p>
    <w:p w:rsidRPr="001C5B7C" w:rsidR="00B82490" w:rsidP="00B82490" w:rsidRDefault="00B82490" w14:paraId="6918A2FD" w14:textId="77777777">
      <w:pPr>
        <w:pStyle w:val="ListParagraph"/>
        <w:numPr>
          <w:ilvl w:val="0"/>
          <w:numId w:val="50"/>
        </w:numPr>
        <w:spacing w:after="80" w:line="240" w:lineRule="auto"/>
        <w:contextualSpacing w:val="0"/>
        <w:rPr>
          <w:lang w:val="en-GB"/>
        </w:rPr>
      </w:pPr>
      <w:r w:rsidRPr="001C5B7C">
        <w:rPr>
          <w:lang w:val="en-GB"/>
        </w:rPr>
        <w:t xml:space="preserve">Data Governance Act (DGA, Regulation (EU) 2022/868) </w:t>
      </w:r>
      <w:r>
        <w:rPr>
          <w:lang w:val="en-GB"/>
        </w:rPr>
        <w:t>-</w:t>
      </w:r>
      <w:r w:rsidRPr="001C5B7C">
        <w:rPr>
          <w:lang w:val="en-GB"/>
        </w:rPr>
        <w:t xml:space="preserve"> governing the reuse of public sector data and data intermediation services</w:t>
      </w:r>
    </w:p>
    <w:p w:rsidRPr="001C5B7C" w:rsidR="00B82490" w:rsidP="00B82490" w:rsidRDefault="00B82490" w14:paraId="7131B400" w14:textId="77777777">
      <w:pPr>
        <w:pStyle w:val="ListParagraph"/>
        <w:numPr>
          <w:ilvl w:val="0"/>
          <w:numId w:val="50"/>
        </w:numPr>
        <w:spacing w:after="80" w:line="240" w:lineRule="auto"/>
        <w:contextualSpacing w:val="0"/>
        <w:rPr>
          <w:lang w:val="en-GB"/>
        </w:rPr>
      </w:pPr>
      <w:r w:rsidRPr="001C5B7C">
        <w:rPr>
          <w:lang w:val="en-GB"/>
        </w:rPr>
        <w:t xml:space="preserve">DS4SSCC Blueprint (D2.3) </w:t>
      </w:r>
      <w:r>
        <w:rPr>
          <w:lang w:val="en-GB"/>
        </w:rPr>
        <w:t>-</w:t>
      </w:r>
      <w:r w:rsidRPr="001C5B7C">
        <w:rPr>
          <w:lang w:val="en-GB"/>
        </w:rPr>
        <w:t xml:space="preserve"> the governance framework for the European Data Space for Smart Communities</w:t>
      </w:r>
    </w:p>
    <w:p w:rsidRPr="001C5B7C" w:rsidR="00B82490" w:rsidP="00B82490" w:rsidRDefault="00B82490" w14:paraId="1AD35A04" w14:textId="77777777">
      <w:pPr>
        <w:pStyle w:val="ListParagraph"/>
        <w:numPr>
          <w:ilvl w:val="0"/>
          <w:numId w:val="50"/>
        </w:numPr>
        <w:spacing w:after="80" w:line="240" w:lineRule="auto"/>
        <w:contextualSpacing w:val="0"/>
        <w:rPr>
          <w:lang w:val="en-GB"/>
        </w:rPr>
      </w:pPr>
      <w:r w:rsidRPr="001C5B7C">
        <w:rPr>
          <w:lang w:val="en-GB"/>
        </w:rPr>
        <w:t xml:space="preserve">FRAIA (Fundamental Rights and Algorithms Impact Assessment) </w:t>
      </w:r>
      <w:r>
        <w:rPr>
          <w:lang w:val="en-GB"/>
        </w:rPr>
        <w:t>-</w:t>
      </w:r>
      <w:r w:rsidRPr="001C5B7C">
        <w:rPr>
          <w:lang w:val="en-GB"/>
        </w:rPr>
        <w:t xml:space="preserve"> a tool for assessing data-driven systems used in government contexts</w:t>
      </w:r>
    </w:p>
    <w:p w:rsidRPr="001C5B7C" w:rsidR="00B82490" w:rsidP="00B82490" w:rsidRDefault="00B82490" w14:paraId="3931023A" w14:textId="77777777">
      <w:pPr>
        <w:spacing w:after="120"/>
        <w:rPr>
          <w:lang w:val="en-GB"/>
        </w:rPr>
      </w:pPr>
    </w:p>
    <w:p w:rsidRPr="00B82490" w:rsidR="00B82490" w:rsidP="00B82490" w:rsidRDefault="00B82490" w14:paraId="372E9EEE" w14:textId="30FCEDE0">
      <w:pPr>
        <w:rPr>
          <w:b/>
          <w:bCs/>
        </w:rPr>
      </w:pPr>
      <w:r w:rsidRPr="001C5B7C">
        <w:rPr>
          <w:b/>
          <w:bCs/>
        </w:rPr>
        <w:t>Conformity Assessment</w:t>
      </w:r>
    </w:p>
    <w:tbl>
      <w:tblPr>
        <w:tblW w:w="68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000" w:firstRow="0" w:lastRow="0" w:firstColumn="0" w:lastColumn="0" w:noHBand="0" w:noVBand="0"/>
      </w:tblPr>
      <w:tblGrid>
        <w:gridCol w:w="1800"/>
        <w:gridCol w:w="2500"/>
        <w:gridCol w:w="2500"/>
      </w:tblGrid>
      <w:tr w:rsidRPr="0083696D" w:rsidR="00B82490" w:rsidTr="00D134BE" w14:paraId="51F45448" w14:textId="77777777">
        <w:tc>
          <w:tcPr>
            <w:tcW w:w="1800" w:type="dxa"/>
            <w:tcBorders>
              <w:top w:val="single" w:color="CCCCCC" w:sz="1" w:space="0"/>
              <w:left w:val="single" w:color="CCCCCC" w:sz="1" w:space="0"/>
              <w:bottom w:val="single" w:color="CCCCCC" w:sz="1" w:space="0"/>
              <w:right w:val="single" w:color="CCCCCC" w:sz="1" w:space="0"/>
            </w:tcBorders>
            <w:shd w:val="clear" w:color="auto" w:fill="2E75B6"/>
            <w:tcMar>
              <w:top w:w="80" w:type="dxa"/>
              <w:left w:w="120" w:type="dxa"/>
              <w:bottom w:w="80" w:type="dxa"/>
              <w:right w:w="120" w:type="dxa"/>
            </w:tcMar>
          </w:tcPr>
          <w:p w:rsidRPr="001B5285" w:rsidR="00B82490" w:rsidP="00D134BE" w:rsidRDefault="00B82490" w14:paraId="1293EF2C" w14:textId="77777777">
            <w:pPr>
              <w:rPr>
                <w:sz w:val="16"/>
                <w:szCs w:val="16"/>
              </w:rPr>
            </w:pPr>
            <w:r w:rsidRPr="001B5285">
              <w:rPr>
                <w:b/>
                <w:bCs/>
                <w:color w:val="FFFFFF"/>
                <w:sz w:val="16"/>
                <w:szCs w:val="16"/>
              </w:rPr>
              <w:t>Guideline</w:t>
            </w:r>
          </w:p>
        </w:tc>
        <w:tc>
          <w:tcPr>
            <w:tcW w:w="2500" w:type="dxa"/>
            <w:tcBorders>
              <w:top w:val="single" w:color="CCCCCC" w:sz="1" w:space="0"/>
              <w:left w:val="single" w:color="CCCCCC" w:sz="1" w:space="0"/>
              <w:bottom w:val="single" w:color="CCCCCC" w:sz="1" w:space="0"/>
              <w:right w:val="single" w:color="CCCCCC" w:sz="1" w:space="0"/>
            </w:tcBorders>
            <w:shd w:val="clear" w:color="auto" w:fill="2E75B6"/>
            <w:tcMar>
              <w:top w:w="80" w:type="dxa"/>
              <w:left w:w="120" w:type="dxa"/>
              <w:bottom w:w="80" w:type="dxa"/>
              <w:right w:w="120" w:type="dxa"/>
            </w:tcMar>
          </w:tcPr>
          <w:p w:rsidRPr="001B5285" w:rsidR="00B82490" w:rsidP="00D134BE" w:rsidRDefault="00B82490" w14:paraId="504B353D" w14:textId="77777777">
            <w:pPr>
              <w:rPr>
                <w:sz w:val="16"/>
                <w:szCs w:val="16"/>
              </w:rPr>
            </w:pPr>
            <w:r w:rsidRPr="001B5285">
              <w:rPr>
                <w:b/>
                <w:bCs/>
                <w:color w:val="FFFFFF"/>
                <w:sz w:val="16"/>
                <w:szCs w:val="16"/>
              </w:rPr>
              <w:t>Key Requirements</w:t>
            </w:r>
          </w:p>
        </w:tc>
        <w:tc>
          <w:tcPr>
            <w:tcW w:w="2500" w:type="dxa"/>
            <w:tcBorders>
              <w:top w:val="single" w:color="CCCCCC" w:sz="1" w:space="0"/>
              <w:left w:val="single" w:color="CCCCCC" w:sz="1" w:space="0"/>
              <w:bottom w:val="single" w:color="CCCCCC" w:sz="1" w:space="0"/>
              <w:right w:val="single" w:color="CCCCCC" w:sz="1" w:space="0"/>
            </w:tcBorders>
            <w:shd w:val="clear" w:color="auto" w:fill="2E75B6"/>
            <w:tcMar>
              <w:top w:w="80" w:type="dxa"/>
              <w:left w:w="120" w:type="dxa"/>
              <w:bottom w:w="80" w:type="dxa"/>
              <w:right w:w="120" w:type="dxa"/>
            </w:tcMar>
          </w:tcPr>
          <w:p w:rsidRPr="001B5285" w:rsidR="00B82490" w:rsidP="00D134BE" w:rsidRDefault="00B82490" w14:paraId="70463F39" w14:textId="77777777">
            <w:pPr>
              <w:rPr>
                <w:sz w:val="16"/>
                <w:szCs w:val="16"/>
              </w:rPr>
            </w:pPr>
            <w:r w:rsidRPr="001B5285">
              <w:rPr>
                <w:b/>
                <w:bCs/>
                <w:color w:val="FFFFFF"/>
                <w:sz w:val="16"/>
                <w:szCs w:val="16"/>
              </w:rPr>
              <w:t>Assessment for Inzicht Verlicht</w:t>
            </w:r>
          </w:p>
        </w:tc>
      </w:tr>
      <w:tr w:rsidRPr="0083696D" w:rsidR="00B82490" w:rsidTr="00D134BE" w14:paraId="132760EE" w14:textId="77777777">
        <w:tc>
          <w:tcPr>
            <w:tcW w:w="180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Pr="001B5285" w:rsidR="00B82490" w:rsidP="00D134BE" w:rsidRDefault="00B82490" w14:paraId="2552419F" w14:textId="77777777">
            <w:pPr>
              <w:rPr>
                <w:sz w:val="16"/>
                <w:szCs w:val="16"/>
              </w:rPr>
            </w:pPr>
            <w:r w:rsidRPr="001B5285">
              <w:rPr>
                <w:color w:val="000000"/>
                <w:sz w:val="16"/>
                <w:szCs w:val="16"/>
              </w:rPr>
              <w:t>GDPR (Regulation (EU) 2016/679)</w:t>
            </w:r>
          </w:p>
        </w:tc>
        <w:tc>
          <w:tcPr>
            <w:tcW w:w="250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Pr="001B5285" w:rsidR="00B82490" w:rsidP="00D134BE" w:rsidRDefault="00B82490" w14:paraId="5FAC4714" w14:textId="77777777">
            <w:pPr>
              <w:rPr>
                <w:sz w:val="16"/>
                <w:szCs w:val="16"/>
                <w:lang w:val="en-GB"/>
              </w:rPr>
            </w:pPr>
            <w:r w:rsidRPr="001B5285">
              <w:rPr>
                <w:color w:val="000000"/>
                <w:sz w:val="16"/>
                <w:szCs w:val="16"/>
                <w:lang w:val="en-GB"/>
              </w:rPr>
              <w:t xml:space="preserve">Lawful, fair, transparent processing (Art. 5.1a). Purpose limitation (Art. 5.1b). Re-identification risk assessment for anonymised data. </w:t>
            </w:r>
            <w:r w:rsidRPr="001B5285">
              <w:rPr>
                <w:color w:val="000000"/>
                <w:sz w:val="16"/>
                <w:szCs w:val="16"/>
              </w:rPr>
              <w:t>Signed DPA required for processors (Art. 28).</w:t>
            </w:r>
          </w:p>
        </w:tc>
        <w:tc>
          <w:tcPr>
            <w:tcW w:w="250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Pr="001B5285" w:rsidR="00B82490" w:rsidP="00D134BE" w:rsidRDefault="00B82490" w14:paraId="6F2FADB1" w14:textId="77777777">
            <w:pPr>
              <w:rPr>
                <w:sz w:val="16"/>
                <w:szCs w:val="16"/>
                <w:lang w:val="en-GB"/>
              </w:rPr>
            </w:pPr>
            <w:r w:rsidRPr="001B5285">
              <w:rPr>
                <w:color w:val="000000"/>
                <w:sz w:val="16"/>
                <w:szCs w:val="16"/>
                <w:lang w:val="en-GB"/>
              </w:rPr>
              <w:t xml:space="preserve">Partially covered. </w:t>
            </w:r>
            <w:r>
              <w:rPr>
                <w:color w:val="000000"/>
                <w:sz w:val="16"/>
                <w:szCs w:val="16"/>
                <w:lang w:val="en-GB"/>
              </w:rPr>
              <w:t>The d</w:t>
            </w:r>
            <w:r w:rsidRPr="001B5285">
              <w:rPr>
                <w:color w:val="000000"/>
                <w:sz w:val="16"/>
                <w:szCs w:val="16"/>
                <w:lang w:val="en-GB"/>
              </w:rPr>
              <w:t xml:space="preserve">ata is </w:t>
            </w:r>
            <w:proofErr w:type="gramStart"/>
            <w:r w:rsidRPr="001B5285">
              <w:rPr>
                <w:color w:val="000000"/>
                <w:sz w:val="16"/>
                <w:szCs w:val="16"/>
                <w:lang w:val="en-GB"/>
              </w:rPr>
              <w:t>anonymised</w:t>
            </w:r>
            <w:proofErr w:type="gramEnd"/>
            <w:r w:rsidRPr="001B5285">
              <w:rPr>
                <w:color w:val="000000"/>
                <w:sz w:val="16"/>
                <w:szCs w:val="16"/>
                <w:lang w:val="en-GB"/>
              </w:rPr>
              <w:t xml:space="preserve"> but no re-identification assessment exists. </w:t>
            </w:r>
            <w:r>
              <w:rPr>
                <w:color w:val="000000"/>
                <w:sz w:val="16"/>
                <w:szCs w:val="16"/>
                <w:lang w:val="en-GB"/>
              </w:rPr>
              <w:t>There are n</w:t>
            </w:r>
            <w:r w:rsidRPr="001B5285">
              <w:rPr>
                <w:color w:val="000000"/>
                <w:sz w:val="16"/>
                <w:szCs w:val="16"/>
                <w:lang w:val="en-GB"/>
              </w:rPr>
              <w:t xml:space="preserve">o signed DPAs with </w:t>
            </w:r>
            <w:r>
              <w:rPr>
                <w:color w:val="000000"/>
                <w:sz w:val="16"/>
                <w:szCs w:val="16"/>
                <w:lang w:val="en-GB"/>
              </w:rPr>
              <w:t>the relevant stakeholders</w:t>
            </w:r>
            <w:r w:rsidRPr="001B5285">
              <w:rPr>
                <w:color w:val="000000"/>
                <w:sz w:val="16"/>
                <w:szCs w:val="16"/>
                <w:lang w:val="en-GB"/>
              </w:rPr>
              <w:t xml:space="preserve">. </w:t>
            </w:r>
            <w:r>
              <w:rPr>
                <w:color w:val="000000"/>
                <w:sz w:val="16"/>
                <w:szCs w:val="16"/>
                <w:lang w:val="en-GB"/>
              </w:rPr>
              <w:t>There are n</w:t>
            </w:r>
            <w:r w:rsidRPr="001B5285">
              <w:rPr>
                <w:color w:val="000000"/>
                <w:sz w:val="16"/>
                <w:szCs w:val="16"/>
                <w:lang w:val="en-GB"/>
              </w:rPr>
              <w:t>o data retention periods defined.</w:t>
            </w:r>
          </w:p>
        </w:tc>
      </w:tr>
      <w:tr w:rsidRPr="0083696D" w:rsidR="00B82490" w:rsidTr="00D134BE" w14:paraId="0D3712A8" w14:textId="77777777">
        <w:tc>
          <w:tcPr>
            <w:tcW w:w="1800" w:type="dxa"/>
            <w:tcBorders>
              <w:top w:val="single" w:color="CCCCCC" w:sz="1" w:space="0"/>
              <w:left w:val="single" w:color="CCCCCC" w:sz="1" w:space="0"/>
              <w:bottom w:val="single" w:color="CCCCCC" w:sz="1" w:space="0"/>
              <w:right w:val="single" w:color="CCCCCC" w:sz="1" w:space="0"/>
            </w:tcBorders>
            <w:shd w:val="clear" w:color="auto" w:fill="EBF3FB"/>
            <w:tcMar>
              <w:top w:w="80" w:type="dxa"/>
              <w:left w:w="120" w:type="dxa"/>
              <w:bottom w:w="80" w:type="dxa"/>
              <w:right w:w="120" w:type="dxa"/>
            </w:tcMar>
          </w:tcPr>
          <w:p w:rsidRPr="001B5285" w:rsidR="00B82490" w:rsidP="00D134BE" w:rsidRDefault="00B82490" w14:paraId="68BE4713" w14:textId="77777777">
            <w:pPr>
              <w:rPr>
                <w:sz w:val="16"/>
                <w:szCs w:val="16"/>
                <w:lang w:val="en-GB"/>
              </w:rPr>
            </w:pPr>
            <w:r w:rsidRPr="001B5285">
              <w:rPr>
                <w:color w:val="000000"/>
                <w:sz w:val="16"/>
                <w:szCs w:val="16"/>
                <w:lang w:val="en-GB"/>
              </w:rPr>
              <w:t>Data Governance Act (DGA) (Regulation (EU) 2022/868)</w:t>
            </w:r>
          </w:p>
        </w:tc>
        <w:tc>
          <w:tcPr>
            <w:tcW w:w="2500" w:type="dxa"/>
            <w:tcBorders>
              <w:top w:val="single" w:color="CCCCCC" w:sz="1" w:space="0"/>
              <w:left w:val="single" w:color="CCCCCC" w:sz="1" w:space="0"/>
              <w:bottom w:val="single" w:color="CCCCCC" w:sz="1" w:space="0"/>
              <w:right w:val="single" w:color="CCCCCC" w:sz="1" w:space="0"/>
            </w:tcBorders>
            <w:shd w:val="clear" w:color="auto" w:fill="EBF3FB"/>
            <w:tcMar>
              <w:top w:w="80" w:type="dxa"/>
              <w:left w:w="120" w:type="dxa"/>
              <w:bottom w:w="80" w:type="dxa"/>
              <w:right w:w="120" w:type="dxa"/>
            </w:tcMar>
          </w:tcPr>
          <w:p w:rsidR="00B82490" w:rsidP="00D134BE" w:rsidRDefault="00B82490" w14:paraId="66B9A214" w14:textId="77777777">
            <w:pPr>
              <w:rPr>
                <w:color w:val="000000"/>
                <w:sz w:val="16"/>
                <w:szCs w:val="16"/>
                <w:lang w:val="en-GB"/>
              </w:rPr>
            </w:pPr>
            <w:r w:rsidRPr="001B5285">
              <w:rPr>
                <w:color w:val="000000"/>
                <w:sz w:val="16"/>
                <w:szCs w:val="16"/>
                <w:lang w:val="en-GB"/>
              </w:rPr>
              <w:t xml:space="preserve">Public bodies must share data neutrally and transparently. </w:t>
            </w:r>
          </w:p>
          <w:p w:rsidRPr="001B5285" w:rsidR="00B82490" w:rsidP="00D134BE" w:rsidRDefault="00B82490" w14:paraId="7A8BD4F8" w14:textId="77777777">
            <w:pPr>
              <w:rPr>
                <w:sz w:val="16"/>
                <w:szCs w:val="16"/>
                <w:lang w:val="en-GB"/>
              </w:rPr>
            </w:pPr>
            <w:r w:rsidRPr="001B5285">
              <w:rPr>
                <w:color w:val="000000"/>
                <w:sz w:val="16"/>
                <w:szCs w:val="16"/>
                <w:lang w:val="en-GB"/>
              </w:rPr>
              <w:t>Data intermediaries must avoid conflicts of interest.</w:t>
            </w:r>
          </w:p>
        </w:tc>
        <w:tc>
          <w:tcPr>
            <w:tcW w:w="2500" w:type="dxa"/>
            <w:tcBorders>
              <w:top w:val="single" w:color="CCCCCC" w:sz="1" w:space="0"/>
              <w:left w:val="single" w:color="CCCCCC" w:sz="1" w:space="0"/>
              <w:bottom w:val="single" w:color="CCCCCC" w:sz="1" w:space="0"/>
              <w:right w:val="single" w:color="CCCCCC" w:sz="1" w:space="0"/>
            </w:tcBorders>
            <w:shd w:val="clear" w:color="auto" w:fill="EBF3FB"/>
            <w:tcMar>
              <w:top w:w="80" w:type="dxa"/>
              <w:left w:w="120" w:type="dxa"/>
              <w:bottom w:w="80" w:type="dxa"/>
              <w:right w:w="120" w:type="dxa"/>
            </w:tcMar>
          </w:tcPr>
          <w:p w:rsidRPr="001B5285" w:rsidR="00B82490" w:rsidP="00D134BE" w:rsidRDefault="00B82490" w14:paraId="61762A06" w14:textId="77777777">
            <w:pPr>
              <w:rPr>
                <w:sz w:val="16"/>
                <w:szCs w:val="16"/>
                <w:lang w:val="en-GB"/>
              </w:rPr>
            </w:pPr>
            <w:r w:rsidRPr="001B5285">
              <w:rPr>
                <w:color w:val="000000"/>
                <w:sz w:val="16"/>
                <w:szCs w:val="16"/>
                <w:lang w:val="en-GB"/>
              </w:rPr>
              <w:t>Not fully covered. The municipality acts as both data holder and primary user</w:t>
            </w:r>
            <w:r>
              <w:rPr>
                <w:color w:val="000000"/>
                <w:sz w:val="16"/>
                <w:szCs w:val="16"/>
                <w:lang w:val="en-GB"/>
              </w:rPr>
              <w:t>. This creates a conflict of interest without independent oversight.</w:t>
            </w:r>
            <w:r w:rsidRPr="001B5285">
              <w:rPr>
                <w:color w:val="000000"/>
                <w:sz w:val="16"/>
                <w:szCs w:val="16"/>
                <w:lang w:val="en-GB"/>
              </w:rPr>
              <w:t xml:space="preserve"> </w:t>
            </w:r>
          </w:p>
        </w:tc>
      </w:tr>
      <w:tr w:rsidRPr="0083696D" w:rsidR="00B82490" w:rsidTr="00D134BE" w14:paraId="06A7BBB3" w14:textId="77777777">
        <w:tc>
          <w:tcPr>
            <w:tcW w:w="180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Pr="001B5285" w:rsidR="00B82490" w:rsidP="00D134BE" w:rsidRDefault="00B82490" w14:paraId="14D36EC8" w14:textId="77777777">
            <w:pPr>
              <w:rPr>
                <w:sz w:val="16"/>
                <w:szCs w:val="16"/>
              </w:rPr>
            </w:pPr>
            <w:r w:rsidRPr="001B5285">
              <w:rPr>
                <w:color w:val="000000"/>
                <w:sz w:val="16"/>
                <w:szCs w:val="16"/>
              </w:rPr>
              <w:t>DS4SSCC Blueprint (D2.3)</w:t>
            </w:r>
          </w:p>
        </w:tc>
        <w:tc>
          <w:tcPr>
            <w:tcW w:w="250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Pr="001B5285" w:rsidR="00B82490" w:rsidP="00D134BE" w:rsidRDefault="00B82490" w14:paraId="0E4DA788" w14:textId="77777777">
            <w:pPr>
              <w:rPr>
                <w:sz w:val="16"/>
                <w:szCs w:val="16"/>
                <w:lang w:val="en-GB"/>
              </w:rPr>
            </w:pPr>
            <w:r w:rsidRPr="001B5285">
              <w:rPr>
                <w:color w:val="000000"/>
                <w:sz w:val="16"/>
                <w:szCs w:val="16"/>
                <w:lang w:val="en-GB"/>
              </w:rPr>
              <w:t xml:space="preserve">Periodic re-identification tests. Formal governance roles defined and mapped to stakeholders. </w:t>
            </w:r>
            <w:r w:rsidRPr="001B5285">
              <w:rPr>
                <w:color w:val="000000"/>
                <w:sz w:val="16"/>
                <w:szCs w:val="16"/>
              </w:rPr>
              <w:t>Ethics review before new data collection.</w:t>
            </w:r>
          </w:p>
        </w:tc>
        <w:tc>
          <w:tcPr>
            <w:tcW w:w="250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Pr="001B5285" w:rsidR="00B82490" w:rsidP="00D134BE" w:rsidRDefault="00B82490" w14:paraId="5420BAB6" w14:textId="77777777">
            <w:pPr>
              <w:rPr>
                <w:sz w:val="16"/>
                <w:szCs w:val="16"/>
                <w:lang w:val="en-GB"/>
              </w:rPr>
            </w:pPr>
            <w:r w:rsidRPr="001B5285">
              <w:rPr>
                <w:color w:val="000000"/>
                <w:sz w:val="16"/>
                <w:szCs w:val="16"/>
                <w:lang w:val="en-GB"/>
              </w:rPr>
              <w:t>Partially covered.</w:t>
            </w:r>
            <w:r>
              <w:rPr>
                <w:color w:val="000000"/>
                <w:sz w:val="16"/>
                <w:szCs w:val="16"/>
                <w:lang w:val="en-GB"/>
              </w:rPr>
              <w:t xml:space="preserve"> The Business Advice document from the previous group shows that </w:t>
            </w:r>
            <w:proofErr w:type="gramStart"/>
            <w:r>
              <w:rPr>
                <w:color w:val="000000"/>
                <w:sz w:val="16"/>
                <w:szCs w:val="16"/>
                <w:lang w:val="en-GB"/>
              </w:rPr>
              <w:t xml:space="preserve">the </w:t>
            </w:r>
            <w:r w:rsidRPr="001B5285">
              <w:rPr>
                <w:color w:val="000000"/>
                <w:sz w:val="16"/>
                <w:szCs w:val="16"/>
                <w:lang w:val="en-GB"/>
              </w:rPr>
              <w:t xml:space="preserve"> </w:t>
            </w:r>
            <w:r>
              <w:rPr>
                <w:color w:val="000000"/>
                <w:sz w:val="16"/>
                <w:szCs w:val="16"/>
                <w:lang w:val="en-GB"/>
              </w:rPr>
              <w:t>g</w:t>
            </w:r>
            <w:r w:rsidRPr="001B5285">
              <w:rPr>
                <w:color w:val="000000"/>
                <w:sz w:val="16"/>
                <w:szCs w:val="16"/>
                <w:lang w:val="en-GB"/>
              </w:rPr>
              <w:t>overnance</w:t>
            </w:r>
            <w:proofErr w:type="gramEnd"/>
            <w:r w:rsidRPr="001B5285">
              <w:rPr>
                <w:color w:val="000000"/>
                <w:sz w:val="16"/>
                <w:szCs w:val="16"/>
                <w:lang w:val="en-GB"/>
              </w:rPr>
              <w:t xml:space="preserve"> roles from the blueprint have not been linked to stakeholders. Re-identification tests and ethics reviews are not </w:t>
            </w:r>
            <w:r>
              <w:rPr>
                <w:color w:val="000000"/>
                <w:sz w:val="16"/>
                <w:szCs w:val="16"/>
                <w:lang w:val="en-GB"/>
              </w:rPr>
              <w:t>standard.</w:t>
            </w:r>
          </w:p>
        </w:tc>
      </w:tr>
      <w:tr w:rsidRPr="0083696D" w:rsidR="00B82490" w:rsidTr="00D134BE" w14:paraId="16A668A3" w14:textId="77777777">
        <w:tc>
          <w:tcPr>
            <w:tcW w:w="1800" w:type="dxa"/>
            <w:tcBorders>
              <w:top w:val="single" w:color="CCCCCC" w:sz="1" w:space="0"/>
              <w:left w:val="single" w:color="CCCCCC" w:sz="1" w:space="0"/>
              <w:bottom w:val="single" w:color="CCCCCC" w:sz="1" w:space="0"/>
              <w:right w:val="single" w:color="CCCCCC" w:sz="1" w:space="0"/>
            </w:tcBorders>
            <w:shd w:val="clear" w:color="auto" w:fill="EBF3FB"/>
            <w:tcMar>
              <w:top w:w="80" w:type="dxa"/>
              <w:left w:w="120" w:type="dxa"/>
              <w:bottom w:w="80" w:type="dxa"/>
              <w:right w:w="120" w:type="dxa"/>
            </w:tcMar>
          </w:tcPr>
          <w:p w:rsidRPr="001B5285" w:rsidR="00B82490" w:rsidP="00D134BE" w:rsidRDefault="00B82490" w14:paraId="6BD884DC" w14:textId="77777777">
            <w:pPr>
              <w:rPr>
                <w:sz w:val="16"/>
                <w:szCs w:val="16"/>
                <w:lang w:val="en-GB"/>
              </w:rPr>
            </w:pPr>
            <w:r w:rsidRPr="001B5285">
              <w:rPr>
                <w:color w:val="000000"/>
                <w:sz w:val="16"/>
                <w:szCs w:val="16"/>
                <w:lang w:val="en-GB"/>
              </w:rPr>
              <w:t>FRAIA</w:t>
            </w:r>
          </w:p>
        </w:tc>
        <w:tc>
          <w:tcPr>
            <w:tcW w:w="2500" w:type="dxa"/>
            <w:tcBorders>
              <w:top w:val="single" w:color="CCCCCC" w:sz="1" w:space="0"/>
              <w:left w:val="single" w:color="CCCCCC" w:sz="1" w:space="0"/>
              <w:bottom w:val="single" w:color="CCCCCC" w:sz="1" w:space="0"/>
              <w:right w:val="single" w:color="CCCCCC" w:sz="1" w:space="0"/>
            </w:tcBorders>
            <w:shd w:val="clear" w:color="auto" w:fill="EBF3FB"/>
            <w:tcMar>
              <w:top w:w="80" w:type="dxa"/>
              <w:left w:w="120" w:type="dxa"/>
              <w:bottom w:w="80" w:type="dxa"/>
              <w:right w:w="120" w:type="dxa"/>
            </w:tcMar>
          </w:tcPr>
          <w:p w:rsidRPr="001B5285" w:rsidR="00B82490" w:rsidP="00D134BE" w:rsidRDefault="00B82490" w14:paraId="6C6DED05" w14:textId="77777777">
            <w:pPr>
              <w:rPr>
                <w:sz w:val="16"/>
                <w:szCs w:val="16"/>
                <w:lang w:val="en-GB"/>
              </w:rPr>
            </w:pPr>
            <w:r w:rsidRPr="001B5285">
              <w:rPr>
                <w:color w:val="000000"/>
                <w:sz w:val="16"/>
                <w:szCs w:val="16"/>
                <w:lang w:val="en-GB"/>
              </w:rPr>
              <w:t>Data systems informing public policy must be assessed for fairness, transparency</w:t>
            </w:r>
            <w:r>
              <w:rPr>
                <w:color w:val="000000"/>
                <w:sz w:val="16"/>
                <w:szCs w:val="16"/>
                <w:lang w:val="en-GB"/>
              </w:rPr>
              <w:t xml:space="preserve"> </w:t>
            </w:r>
            <w:r w:rsidRPr="001B5285">
              <w:rPr>
                <w:color w:val="000000"/>
                <w:sz w:val="16"/>
                <w:szCs w:val="16"/>
                <w:lang w:val="en-GB"/>
              </w:rPr>
              <w:t>and fundamental rights impact.</w:t>
            </w:r>
          </w:p>
        </w:tc>
        <w:tc>
          <w:tcPr>
            <w:tcW w:w="2500" w:type="dxa"/>
            <w:tcBorders>
              <w:top w:val="single" w:color="CCCCCC" w:sz="1" w:space="0"/>
              <w:left w:val="single" w:color="CCCCCC" w:sz="1" w:space="0"/>
              <w:bottom w:val="single" w:color="CCCCCC" w:sz="1" w:space="0"/>
              <w:right w:val="single" w:color="CCCCCC" w:sz="1" w:space="0"/>
            </w:tcBorders>
            <w:shd w:val="clear" w:color="auto" w:fill="EBF3FB"/>
            <w:tcMar>
              <w:top w:w="80" w:type="dxa"/>
              <w:left w:w="120" w:type="dxa"/>
              <w:bottom w:w="80" w:type="dxa"/>
              <w:right w:w="120" w:type="dxa"/>
            </w:tcMar>
          </w:tcPr>
          <w:p w:rsidRPr="001B5285" w:rsidR="00B82490" w:rsidP="00D134BE" w:rsidRDefault="00B82490" w14:paraId="502AD7D2" w14:textId="77777777">
            <w:pPr>
              <w:rPr>
                <w:sz w:val="16"/>
                <w:szCs w:val="16"/>
                <w:lang w:val="en-GB"/>
              </w:rPr>
            </w:pPr>
            <w:r w:rsidRPr="001B5285">
              <w:rPr>
                <w:color w:val="000000"/>
                <w:sz w:val="16"/>
                <w:szCs w:val="16"/>
                <w:lang w:val="en-GB"/>
              </w:rPr>
              <w:t>Not applied. No FRAIA assessment has been conducted</w:t>
            </w:r>
            <w:r>
              <w:rPr>
                <w:color w:val="000000"/>
                <w:sz w:val="16"/>
                <w:szCs w:val="16"/>
                <w:lang w:val="en-GB"/>
              </w:rPr>
              <w:t xml:space="preserve"> up until now. </w:t>
            </w:r>
          </w:p>
        </w:tc>
      </w:tr>
    </w:tbl>
    <w:p w:rsidR="00B82490" w:rsidP="007628B0" w:rsidRDefault="00B82490" w14:paraId="769D798A" w14:textId="68C2E2B7"/>
    <w:p w:rsidR="004C750E" w:rsidRDefault="004C750E" w14:paraId="558DA157" w14:textId="77777777">
      <w:pPr>
        <w:rPr>
          <w:b/>
          <w:bCs/>
          <w:lang w:val="en-GB"/>
        </w:rPr>
      </w:pPr>
      <w:r>
        <w:rPr>
          <w:b/>
          <w:bCs/>
          <w:lang w:val="en-GB"/>
        </w:rPr>
        <w:br w:type="page"/>
      </w:r>
    </w:p>
    <w:p w:rsidRPr="001C5B7C" w:rsidR="004C750E" w:rsidP="004C750E" w:rsidRDefault="004C750E" w14:paraId="745C7FF3" w14:textId="27ED4C1C">
      <w:pPr>
        <w:rPr>
          <w:b/>
          <w:bCs/>
          <w:lang w:val="en-GB"/>
        </w:rPr>
      </w:pPr>
      <w:r w:rsidRPr="001C5B7C">
        <w:rPr>
          <w:b/>
          <w:bCs/>
          <w:lang w:val="en-GB"/>
        </w:rPr>
        <w:t>Overall Findings</w:t>
      </w:r>
    </w:p>
    <w:p w:rsidRPr="001B5285" w:rsidR="004C750E" w:rsidP="004C750E" w:rsidRDefault="004C750E" w14:paraId="1BA57E92" w14:textId="77777777">
      <w:pPr>
        <w:spacing w:after="120"/>
        <w:rPr>
          <w:lang w:val="en-GB"/>
        </w:rPr>
      </w:pPr>
      <w:r>
        <w:rPr>
          <w:lang w:val="en-GB"/>
        </w:rPr>
        <w:t>The</w:t>
      </w:r>
      <w:r w:rsidRPr="001C5B7C">
        <w:rPr>
          <w:lang w:val="en-GB"/>
        </w:rPr>
        <w:t xml:space="preserve"> Inzicht Verlicht dataspace </w:t>
      </w:r>
      <w:r>
        <w:rPr>
          <w:lang w:val="en-GB"/>
        </w:rPr>
        <w:t xml:space="preserve">lacks </w:t>
      </w:r>
      <w:r w:rsidRPr="001C5B7C">
        <w:rPr>
          <w:lang w:val="en-GB"/>
        </w:rPr>
        <w:t>the procedural and formal governance requirements that give that baseline legal and practical force</w:t>
      </w:r>
      <w:r>
        <w:rPr>
          <w:lang w:val="en-GB"/>
        </w:rPr>
        <w:t xml:space="preserve">, especially for the following requirements: </w:t>
      </w:r>
    </w:p>
    <w:p w:rsidRPr="001C5B7C" w:rsidR="004C750E" w:rsidP="004C750E" w:rsidRDefault="004C750E" w14:paraId="36F57318" w14:textId="77777777">
      <w:pPr>
        <w:pStyle w:val="ListParagraph"/>
        <w:numPr>
          <w:ilvl w:val="0"/>
          <w:numId w:val="50"/>
        </w:numPr>
        <w:spacing w:after="80" w:line="240" w:lineRule="auto"/>
        <w:contextualSpacing w:val="0"/>
        <w:rPr>
          <w:lang w:val="en-GB"/>
        </w:rPr>
      </w:pPr>
      <w:r w:rsidRPr="001C5B7C">
        <w:rPr>
          <w:lang w:val="en-GB"/>
        </w:rPr>
        <w:t xml:space="preserve">Re-identification risk assessment is not in place, despite the project using anonymised data that could be re-identified when combined with </w:t>
      </w:r>
      <w:r>
        <w:rPr>
          <w:lang w:val="en-GB"/>
        </w:rPr>
        <w:t>other</w:t>
      </w:r>
      <w:r w:rsidRPr="001C5B7C">
        <w:rPr>
          <w:lang w:val="en-GB"/>
        </w:rPr>
        <w:t xml:space="preserve"> datasets.</w:t>
      </w:r>
    </w:p>
    <w:p w:rsidRPr="001C5B7C" w:rsidR="004C750E" w:rsidP="004C750E" w:rsidRDefault="004C750E" w14:paraId="014D2136" w14:textId="77777777">
      <w:pPr>
        <w:pStyle w:val="ListParagraph"/>
        <w:numPr>
          <w:ilvl w:val="0"/>
          <w:numId w:val="50"/>
        </w:numPr>
        <w:spacing w:after="80" w:line="240" w:lineRule="auto"/>
        <w:contextualSpacing w:val="0"/>
        <w:rPr>
          <w:lang w:val="en-GB"/>
        </w:rPr>
      </w:pPr>
      <w:r w:rsidRPr="001C5B7C">
        <w:rPr>
          <w:lang w:val="en-GB"/>
        </w:rPr>
        <w:t>The municipality's dual role as data holder and primary user is a structural issue</w:t>
      </w:r>
      <w:r>
        <w:rPr>
          <w:lang w:val="en-GB"/>
        </w:rPr>
        <w:t>.</w:t>
      </w:r>
    </w:p>
    <w:p w:rsidRPr="001C5B7C" w:rsidR="004C750E" w:rsidP="004C750E" w:rsidRDefault="004C750E" w14:paraId="06FFBEA8" w14:textId="77777777">
      <w:pPr>
        <w:pStyle w:val="ListParagraph"/>
        <w:numPr>
          <w:ilvl w:val="0"/>
          <w:numId w:val="50"/>
        </w:numPr>
        <w:spacing w:after="80" w:line="240" w:lineRule="auto"/>
        <w:contextualSpacing w:val="0"/>
        <w:rPr>
          <w:lang w:val="en-GB"/>
        </w:rPr>
      </w:pPr>
      <w:r w:rsidRPr="001C5B7C">
        <w:rPr>
          <w:lang w:val="en-GB"/>
        </w:rPr>
        <w:t xml:space="preserve">Formal data processing agreements are absent for </w:t>
      </w:r>
      <w:r>
        <w:rPr>
          <w:lang w:val="en-GB"/>
        </w:rPr>
        <w:t>key stakeholders. This creates a legal problem under GDPR.</w:t>
      </w:r>
    </w:p>
    <w:p w:rsidRPr="004C750E" w:rsidR="00B82490" w:rsidP="007628B0" w:rsidRDefault="004C750E" w14:paraId="3E94AD23" w14:textId="150DB060">
      <w:pPr>
        <w:pStyle w:val="ListParagraph"/>
        <w:numPr>
          <w:ilvl w:val="0"/>
          <w:numId w:val="50"/>
        </w:numPr>
        <w:spacing w:after="80" w:line="240" w:lineRule="auto"/>
        <w:contextualSpacing w:val="0"/>
        <w:rPr>
          <w:lang w:val="en-GB"/>
        </w:rPr>
      </w:pPr>
      <w:r w:rsidRPr="001C5B7C">
        <w:rPr>
          <w:lang w:val="en-GB"/>
        </w:rPr>
        <w:t>No FRAIA assessment has been conducted</w:t>
      </w:r>
      <w:r>
        <w:rPr>
          <w:lang w:val="en-GB"/>
        </w:rPr>
        <w:t>. The impact of data-driven policy decisions is unknown.</w:t>
      </w:r>
    </w:p>
    <w:p w:rsidRPr="004C750E" w:rsidR="007628B0" w:rsidP="004C750E" w:rsidRDefault="007628B0" w14:paraId="6CA7F392" w14:textId="77777777">
      <w:pPr>
        <w:pStyle w:val="ListParagraph"/>
        <w:spacing w:after="80" w:line="240" w:lineRule="auto"/>
        <w:contextualSpacing w:val="0"/>
        <w:rPr>
          <w:lang w:val="en-GB"/>
        </w:rPr>
      </w:pPr>
    </w:p>
    <w:p w:rsidRPr="0052058E" w:rsidR="00DF32D8" w:rsidP="0052058E" w:rsidRDefault="007628B0" w14:paraId="11EF91A3" w14:textId="1F3CAC0E">
      <w:pPr>
        <w:pStyle w:val="Heading2"/>
        <w:numPr>
          <w:ilvl w:val="1"/>
          <w:numId w:val="12"/>
        </w:numPr>
        <w:rPr>
          <w:rFonts w:cs="Calibri"/>
        </w:rPr>
      </w:pPr>
      <w:bookmarkStart w:name="_Toc231982066" w:id="35"/>
      <w:r>
        <w:rPr>
          <w:rFonts w:cs="Calibri"/>
          <w:bCs/>
        </w:rPr>
        <w:t>Conclusion</w:t>
      </w:r>
      <w:bookmarkEnd w:id="35"/>
    </w:p>
    <w:p w:rsidRPr="00B67193" w:rsidR="0052058E" w:rsidP="0052058E" w:rsidRDefault="0052058E" w14:paraId="7465AB42" w14:textId="77777777">
      <w:pPr>
        <w:autoSpaceDE w:val="0"/>
        <w:autoSpaceDN w:val="0"/>
        <w:adjustRightInd w:val="0"/>
        <w:spacing w:after="0" w:line="240" w:lineRule="auto"/>
        <w:rPr>
          <w:rFonts w:cs="Arial"/>
          <w:kern w:val="0"/>
          <w:lang w:val="en-GB"/>
        </w:rPr>
      </w:pPr>
      <w:r w:rsidRPr="00B67193">
        <w:rPr>
          <w:rFonts w:cs="Arial"/>
          <w:kern w:val="0"/>
          <w:lang w:val="en-GB"/>
        </w:rPr>
        <w:t>The research into Research Question 3 shows that the Inzicht Verlicht dataspace faces legal, ethical and organisational risks that are closely connected to each other. The conclusion across all three research methods is that the technical infrastructure is in place, but the governance is not yet in order.</w:t>
      </w:r>
    </w:p>
    <w:p w:rsidRPr="00B67193" w:rsidR="0052058E" w:rsidP="0052058E" w:rsidRDefault="0052058E" w14:paraId="7B67EC9F" w14:textId="77777777">
      <w:pPr>
        <w:autoSpaceDE w:val="0"/>
        <w:autoSpaceDN w:val="0"/>
        <w:adjustRightInd w:val="0"/>
        <w:spacing w:after="0" w:line="240" w:lineRule="auto"/>
        <w:rPr>
          <w:rFonts w:cs="Arial"/>
          <w:kern w:val="0"/>
          <w:lang w:val="en-GB"/>
        </w:rPr>
      </w:pPr>
    </w:p>
    <w:p w:rsidRPr="00B67193" w:rsidR="0052058E" w:rsidP="0052058E" w:rsidRDefault="0052058E" w14:paraId="5CED944F" w14:textId="77777777">
      <w:pPr>
        <w:autoSpaceDE w:val="0"/>
        <w:autoSpaceDN w:val="0"/>
        <w:adjustRightInd w:val="0"/>
        <w:spacing w:after="0" w:line="240" w:lineRule="auto"/>
        <w:rPr>
          <w:rFonts w:cs="Arial"/>
          <w:kern w:val="0"/>
          <w:lang w:val="en-GB"/>
        </w:rPr>
      </w:pPr>
      <w:r w:rsidRPr="00B67193">
        <w:rPr>
          <w:rFonts w:cs="Arial"/>
          <w:kern w:val="0"/>
          <w:lang w:val="en-GB"/>
        </w:rPr>
        <w:t>The literature study identified the main risk categories. Legal risks include GDPR non-compliance, the lack of re-identification testing and unclear liability between stakeholders. Ethical risks relate to limited transparency towards citizens and the potential for mission creep. Organisationally, the biggest issue is the absence of a formal governance structure that defines roles, responsibilities and decision-making processes.</w:t>
      </w:r>
    </w:p>
    <w:p w:rsidRPr="00B67193" w:rsidR="0052058E" w:rsidP="0052058E" w:rsidRDefault="0052058E" w14:paraId="215F80FB" w14:textId="77777777">
      <w:pPr>
        <w:autoSpaceDE w:val="0"/>
        <w:autoSpaceDN w:val="0"/>
        <w:adjustRightInd w:val="0"/>
        <w:spacing w:after="0" w:line="240" w:lineRule="auto"/>
        <w:rPr>
          <w:rFonts w:cs="Arial"/>
          <w:kern w:val="0"/>
          <w:lang w:val="en-GB"/>
        </w:rPr>
      </w:pPr>
    </w:p>
    <w:p w:rsidRPr="00B67193" w:rsidR="0052058E" w:rsidP="0052058E" w:rsidRDefault="0052058E" w14:paraId="67E3CE56" w14:textId="77777777">
      <w:pPr>
        <w:autoSpaceDE w:val="0"/>
        <w:autoSpaceDN w:val="0"/>
        <w:adjustRightInd w:val="0"/>
        <w:spacing w:after="0" w:line="240" w:lineRule="auto"/>
        <w:rPr>
          <w:rFonts w:cs="Arial"/>
          <w:kern w:val="0"/>
          <w:lang w:val="en-GB"/>
        </w:rPr>
      </w:pPr>
      <w:r w:rsidRPr="00B67193">
        <w:rPr>
          <w:rFonts w:cs="Arial"/>
          <w:kern w:val="0"/>
          <w:lang w:val="en-GB"/>
        </w:rPr>
        <w:t>The stakeholder analysis made these risks more concrete. The municipality of Eindhoven holds a dual role as both data holder and primary user, without independent oversight. Partners such as RHDHV and ViNotion have no formal data processing agreements in place. The governance roles defined in the DS4SSCC Blueprint have not yet been linked to the actual stakeholders in the project, which means accountability is unclear across the board.</w:t>
      </w:r>
    </w:p>
    <w:p w:rsidRPr="00B67193" w:rsidR="0052058E" w:rsidP="0052058E" w:rsidRDefault="0052058E" w14:paraId="296F9914" w14:textId="77777777">
      <w:pPr>
        <w:autoSpaceDE w:val="0"/>
        <w:autoSpaceDN w:val="0"/>
        <w:adjustRightInd w:val="0"/>
        <w:spacing w:after="0" w:line="240" w:lineRule="auto"/>
        <w:rPr>
          <w:rFonts w:cs="Arial"/>
          <w:kern w:val="0"/>
          <w:lang w:val="en-GB"/>
        </w:rPr>
      </w:pPr>
    </w:p>
    <w:p w:rsidRPr="00B67193" w:rsidR="0052058E" w:rsidP="0052058E" w:rsidRDefault="0052058E" w14:paraId="395053F5" w14:textId="77777777">
      <w:pPr>
        <w:autoSpaceDE w:val="0"/>
        <w:autoSpaceDN w:val="0"/>
        <w:adjustRightInd w:val="0"/>
        <w:spacing w:after="0" w:line="240" w:lineRule="auto"/>
        <w:rPr>
          <w:rFonts w:cs="Arial"/>
          <w:kern w:val="0"/>
          <w:lang w:val="en-GB"/>
        </w:rPr>
      </w:pPr>
      <w:r w:rsidRPr="00B67193">
        <w:rPr>
          <w:rFonts w:cs="Arial"/>
          <w:kern w:val="0"/>
          <w:lang w:val="en-GB"/>
        </w:rPr>
        <w:t xml:space="preserve">The guideline conformity analysis confirmed that the current situation does not fully meet the requirements of the GDPR, the Data Governance Act, the DS4SSCC Blueprint or FRAIA. No re-identification assessment has been </w:t>
      </w:r>
      <w:proofErr w:type="gramStart"/>
      <w:r w:rsidRPr="00B67193">
        <w:rPr>
          <w:rFonts w:cs="Arial"/>
          <w:kern w:val="0"/>
          <w:lang w:val="en-GB"/>
        </w:rPr>
        <w:t>conducted,</w:t>
      </w:r>
      <w:proofErr w:type="gramEnd"/>
      <w:r w:rsidRPr="00B67193">
        <w:rPr>
          <w:rFonts w:cs="Arial"/>
          <w:kern w:val="0"/>
          <w:lang w:val="en-GB"/>
        </w:rPr>
        <w:t xml:space="preserve"> no data processing agreements have been signed with key partners and no FRAIA assessment has taken place.</w:t>
      </w:r>
    </w:p>
    <w:p w:rsidRPr="00B67193" w:rsidR="0052058E" w:rsidP="0052058E" w:rsidRDefault="0052058E" w14:paraId="59B1A09D" w14:textId="77777777">
      <w:pPr>
        <w:autoSpaceDE w:val="0"/>
        <w:autoSpaceDN w:val="0"/>
        <w:adjustRightInd w:val="0"/>
        <w:spacing w:after="0" w:line="240" w:lineRule="auto"/>
        <w:rPr>
          <w:rFonts w:cs="Arial"/>
          <w:kern w:val="0"/>
          <w:lang w:val="en-GB"/>
        </w:rPr>
      </w:pPr>
    </w:p>
    <w:p w:rsidR="00ED5BA8" w:rsidRDefault="0052058E" w14:paraId="3D9AF939" w14:textId="225E118D">
      <w:pPr>
        <w:rPr>
          <w:rFonts w:ascii="Calibri" w:hAnsi="Calibri" w:cs="Calibri"/>
        </w:rPr>
      </w:pPr>
      <w:r w:rsidRPr="00B67193">
        <w:rPr>
          <w:rFonts w:cs="Arial"/>
          <w:kern w:val="0"/>
          <w:lang w:val="en-GB"/>
        </w:rPr>
        <w:t>Taken together, these findings show that the risks in the Inzicht Verlicht dataspace are not caused by a single missing element, but by a broader gap in formal governance. Addressing this requires clear agreements, defined roles and structured procedures. These findings directly inform the governance framework that is being developed as the main outcome of this project.</w:t>
      </w:r>
    </w:p>
    <w:p w:rsidRPr="00B67193" w:rsidR="00DF32D8" w:rsidP="00ED5BA8" w:rsidRDefault="00ED5BA8" w14:paraId="1123C40C" w14:textId="1678E11E">
      <w:pPr>
        <w:pStyle w:val="Heading1"/>
        <w:ind w:left="709" w:hanging="709"/>
        <w:rPr>
          <w:rFonts w:cs="Calibri"/>
          <w:szCs w:val="36"/>
          <w:lang w:val="en-GB"/>
        </w:rPr>
      </w:pPr>
      <w:bookmarkStart w:name="_Toc231982067" w:id="36"/>
      <w:r w:rsidRPr="00B67193">
        <w:rPr>
          <w:rFonts w:cs="Calibri"/>
          <w:bCs/>
          <w:szCs w:val="36"/>
          <w:lang w:val="en-GB"/>
        </w:rPr>
        <w:t xml:space="preserve">6. </w:t>
      </w:r>
      <w:r w:rsidRPr="00B67193" w:rsidR="00DF32D8">
        <w:rPr>
          <w:rFonts w:cs="Calibri"/>
          <w:bCs/>
          <w:szCs w:val="36"/>
          <w:lang w:val="en-GB"/>
        </w:rPr>
        <w:t>Question 4</w:t>
      </w:r>
      <w:bookmarkEnd w:id="36"/>
    </w:p>
    <w:p w:rsidRPr="001C7335" w:rsidR="00DF32D8" w:rsidP="00DF32D8" w:rsidRDefault="00DF32D8" w14:paraId="2424C752" w14:textId="64561A05">
      <w:pPr>
        <w:rPr>
          <w:rFonts w:cs="Arial"/>
          <w:b/>
          <w:i/>
        </w:rPr>
      </w:pPr>
      <w:r w:rsidRPr="001C7335">
        <w:rPr>
          <w:rFonts w:cs="Arial"/>
          <w:b/>
          <w:i/>
        </w:rPr>
        <w:t>How can governance procedures and protocols support stakeholders and intermediaries </w:t>
      </w:r>
      <w:proofErr w:type="gramStart"/>
      <w:r w:rsidRPr="001C7335">
        <w:rPr>
          <w:rFonts w:cs="Arial"/>
          <w:b/>
          <w:i/>
        </w:rPr>
        <w:t>involved</w:t>
      </w:r>
      <w:proofErr w:type="gramEnd"/>
      <w:r w:rsidRPr="001C7335">
        <w:rPr>
          <w:rFonts w:cs="Arial"/>
          <w:b/>
          <w:i/>
        </w:rPr>
        <w:t> in data exchange in using data responsibly while maintaining societal value and privacy protection</w:t>
      </w:r>
      <w:r w:rsidRPr="001C7335">
        <w:rPr>
          <w:rFonts w:cs="Arial"/>
          <w:b/>
          <w:i/>
          <w:lang w:val="en-GB"/>
        </w:rPr>
        <w:t>?</w:t>
      </w:r>
      <w:r w:rsidRPr="001C7335">
        <w:rPr>
          <w:rFonts w:cs="Arial"/>
          <w:b/>
          <w:i/>
        </w:rPr>
        <w:t> </w:t>
      </w:r>
    </w:p>
    <w:tbl>
      <w:tblPr>
        <w:tblStyle w:val="TableGrid"/>
        <w:tblW w:w="11058" w:type="dxa"/>
        <w:tblInd w:w="-998" w:type="dxa"/>
        <w:tblLook w:val="04A0" w:firstRow="1" w:lastRow="0" w:firstColumn="1" w:lastColumn="0" w:noHBand="0" w:noVBand="1"/>
      </w:tblPr>
      <w:tblGrid>
        <w:gridCol w:w="2127"/>
        <w:gridCol w:w="5226"/>
        <w:gridCol w:w="2030"/>
        <w:gridCol w:w="1675"/>
      </w:tblGrid>
      <w:tr w:rsidRPr="00110AFC" w:rsidR="005912C9" w:rsidTr="00381260" w14:paraId="60B78DCB" w14:textId="77777777">
        <w:tc>
          <w:tcPr>
            <w:tcW w:w="2127" w:type="dxa"/>
          </w:tcPr>
          <w:p w:rsidRPr="001C7335" w:rsidR="00DF32D8" w:rsidP="007E2A4E" w:rsidRDefault="00DF32D8" w14:paraId="31FF48CA" w14:textId="77777777">
            <w:pPr>
              <w:rPr>
                <w:rFonts w:cs="Arial"/>
                <w:b/>
              </w:rPr>
            </w:pPr>
            <w:r w:rsidRPr="001C7335">
              <w:rPr>
                <w:rFonts w:cs="Arial"/>
                <w:b/>
              </w:rPr>
              <w:t>Research Strategies</w:t>
            </w:r>
          </w:p>
        </w:tc>
        <w:tc>
          <w:tcPr>
            <w:tcW w:w="5226" w:type="dxa"/>
          </w:tcPr>
          <w:p w:rsidRPr="001C7335" w:rsidR="00DF32D8" w:rsidP="007E2A4E" w:rsidRDefault="00DF32D8" w14:paraId="29984979" w14:textId="77777777">
            <w:pPr>
              <w:rPr>
                <w:rFonts w:cs="Arial"/>
                <w:b/>
              </w:rPr>
            </w:pPr>
            <w:r w:rsidRPr="001C7335">
              <w:rPr>
                <w:rFonts w:cs="Arial"/>
                <w:b/>
              </w:rPr>
              <w:t>How are the Strategies Applied</w:t>
            </w:r>
          </w:p>
        </w:tc>
        <w:tc>
          <w:tcPr>
            <w:tcW w:w="2030" w:type="dxa"/>
          </w:tcPr>
          <w:p w:rsidRPr="001C7335" w:rsidR="00DF32D8" w:rsidP="007E2A4E" w:rsidRDefault="00DF32D8" w14:paraId="52476380" w14:textId="77777777">
            <w:pPr>
              <w:rPr>
                <w:rFonts w:cs="Arial"/>
                <w:b/>
              </w:rPr>
            </w:pPr>
            <w:r w:rsidRPr="001C7335">
              <w:rPr>
                <w:rFonts w:cs="Arial"/>
                <w:b/>
              </w:rPr>
              <w:t>Validation</w:t>
            </w:r>
          </w:p>
        </w:tc>
        <w:tc>
          <w:tcPr>
            <w:tcW w:w="1675" w:type="dxa"/>
          </w:tcPr>
          <w:p w:rsidRPr="001C7335" w:rsidR="00DF32D8" w:rsidP="007E2A4E" w:rsidRDefault="00DF32D8" w14:paraId="17C0F65A" w14:textId="77777777">
            <w:pPr>
              <w:rPr>
                <w:rFonts w:cs="Arial"/>
                <w:b/>
              </w:rPr>
            </w:pPr>
            <w:proofErr w:type="gramStart"/>
            <w:r w:rsidRPr="001C7335">
              <w:rPr>
                <w:rFonts w:cs="Arial"/>
                <w:b/>
              </w:rPr>
              <w:t>Stepping Stones</w:t>
            </w:r>
            <w:proofErr w:type="gramEnd"/>
          </w:p>
        </w:tc>
      </w:tr>
      <w:tr w:rsidRPr="00110AFC" w:rsidR="005912C9" w:rsidTr="00381260" w14:paraId="5DFFA1DA" w14:textId="77777777">
        <w:trPr>
          <w:trHeight w:val="5755"/>
        </w:trPr>
        <w:tc>
          <w:tcPr>
            <w:tcW w:w="2127" w:type="dxa"/>
          </w:tcPr>
          <w:p w:rsidRPr="001C7335" w:rsidR="00381260" w:rsidP="00381260" w:rsidRDefault="00381260" w14:paraId="0207EC2A" w14:textId="77777777">
            <w:pPr>
              <w:rPr>
                <w:rFonts w:cs="Arial"/>
              </w:rPr>
            </w:pPr>
            <w:r w:rsidRPr="001C7335">
              <w:rPr>
                <w:rFonts w:cs="Arial"/>
                <w:lang w:val="en-GB"/>
              </w:rPr>
              <w:t>Library – Literature study</w:t>
            </w:r>
            <w:r w:rsidRPr="001C7335">
              <w:rPr>
                <w:rFonts w:cs="Arial"/>
              </w:rPr>
              <w:t> </w:t>
            </w:r>
          </w:p>
          <w:p w:rsidRPr="001C7335" w:rsidR="00381260" w:rsidP="00381260" w:rsidRDefault="00381260" w14:paraId="2FDAD415" w14:textId="77777777">
            <w:pPr>
              <w:rPr>
                <w:rFonts w:cs="Arial"/>
              </w:rPr>
            </w:pPr>
          </w:p>
          <w:p w:rsidRPr="001C7335" w:rsidR="007E2A4E" w:rsidP="00381260" w:rsidRDefault="007E2A4E" w14:paraId="6B0FD43B" w14:textId="20809F65">
            <w:pPr>
              <w:rPr>
                <w:rFonts w:cs="Arial"/>
              </w:rPr>
            </w:pPr>
            <w:r w:rsidRPr="001C7335">
              <w:rPr>
                <w:rFonts w:cs="Arial"/>
                <w:noProof/>
              </w:rPr>
              <w:drawing>
                <wp:inline distT="0" distB="0" distL="0" distR="0" wp14:anchorId="016F9E6B" wp14:editId="321D0F3E">
                  <wp:extent cx="476885" cy="461010"/>
                  <wp:effectExtent l="0" t="0" r="0" b="0"/>
                  <wp:docPr id="1098344766" name="Picture 1" descr="libr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brary"/>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6885" cy="461010"/>
                          </a:xfrm>
                          <a:prstGeom prst="rect">
                            <a:avLst/>
                          </a:prstGeom>
                          <a:noFill/>
                          <a:ln>
                            <a:noFill/>
                          </a:ln>
                        </pic:spPr>
                      </pic:pic>
                    </a:graphicData>
                  </a:graphic>
                </wp:inline>
              </w:drawing>
            </w:r>
          </w:p>
          <w:p w:rsidRPr="001C7335" w:rsidR="007E2A4E" w:rsidP="00381260" w:rsidRDefault="007E2A4E" w14:paraId="1797400B" w14:textId="77777777">
            <w:pPr>
              <w:rPr>
                <w:rFonts w:cs="Arial"/>
              </w:rPr>
            </w:pPr>
          </w:p>
          <w:p w:rsidRPr="001C7335" w:rsidR="00381260" w:rsidP="00381260" w:rsidRDefault="00763AAD" w14:paraId="1D987EB5" w14:textId="0EA217DE">
            <w:pPr>
              <w:rPr>
                <w:rFonts w:cs="Arial"/>
                <w:lang w:val="en-GB"/>
              </w:rPr>
            </w:pPr>
            <w:r>
              <w:rPr>
                <w:rFonts w:cs="Arial"/>
                <w:lang w:val="en-GB"/>
              </w:rPr>
              <w:t>Field</w:t>
            </w:r>
            <w:r w:rsidRPr="001C7335" w:rsidR="00381260">
              <w:rPr>
                <w:rFonts w:cs="Arial"/>
                <w:lang w:val="en-GB"/>
              </w:rPr>
              <w:t> – </w:t>
            </w:r>
            <w:r>
              <w:rPr>
                <w:rFonts w:cs="Arial"/>
                <w:lang w:val="en-GB"/>
              </w:rPr>
              <w:t>Document analysis</w:t>
            </w:r>
          </w:p>
          <w:p w:rsidRPr="001C7335" w:rsidR="00381260" w:rsidP="00381260" w:rsidRDefault="00381260" w14:paraId="04FBAE4D" w14:textId="790706B0">
            <w:pPr>
              <w:rPr>
                <w:rFonts w:cs="Arial"/>
              </w:rPr>
            </w:pPr>
            <w:r w:rsidRPr="001C7335">
              <w:rPr>
                <w:rFonts w:cs="Arial"/>
              </w:rPr>
              <w:t> </w:t>
            </w:r>
          </w:p>
          <w:p w:rsidRPr="001C7335" w:rsidR="007E2A4E" w:rsidP="00381260" w:rsidRDefault="00E261C4" w14:paraId="38E6AEA7" w14:textId="0568129D">
            <w:pPr>
              <w:rPr>
                <w:rFonts w:cs="Arial"/>
              </w:rPr>
            </w:pPr>
            <w:r>
              <w:rPr>
                <w:noProof/>
              </w:rPr>
              <w:drawing>
                <wp:inline distT="0" distB="0" distL="0" distR="0" wp14:anchorId="62E4940A" wp14:editId="1AA6A080">
                  <wp:extent cx="476885" cy="476885"/>
                  <wp:effectExtent l="0" t="0" r="0" b="0"/>
                  <wp:docPr id="422243712" name="Picture 1" descr="fi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el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76885" cy="476885"/>
                          </a:xfrm>
                          <a:prstGeom prst="rect">
                            <a:avLst/>
                          </a:prstGeom>
                          <a:noFill/>
                          <a:ln>
                            <a:noFill/>
                          </a:ln>
                        </pic:spPr>
                      </pic:pic>
                    </a:graphicData>
                  </a:graphic>
                </wp:inline>
              </w:drawing>
            </w:r>
          </w:p>
          <w:p w:rsidRPr="001C7335" w:rsidR="007E2A4E" w:rsidP="00381260" w:rsidRDefault="007E2A4E" w14:paraId="68A52A3A" w14:textId="77777777">
            <w:pPr>
              <w:rPr>
                <w:rFonts w:cs="Arial"/>
              </w:rPr>
            </w:pPr>
          </w:p>
          <w:p w:rsidRPr="001C7335" w:rsidR="00381260" w:rsidP="00381260" w:rsidRDefault="00763AAD" w14:paraId="465A6570" w14:textId="35E27ED3">
            <w:pPr>
              <w:rPr>
                <w:rFonts w:cs="Arial"/>
              </w:rPr>
            </w:pPr>
            <w:r>
              <w:rPr>
                <w:rFonts w:cs="Arial"/>
                <w:lang w:val="en-GB"/>
              </w:rPr>
              <w:t>Workshop</w:t>
            </w:r>
            <w:r w:rsidRPr="001C7335" w:rsidR="00381260">
              <w:rPr>
                <w:rFonts w:cs="Arial"/>
                <w:lang w:val="en-GB"/>
              </w:rPr>
              <w:t> – </w:t>
            </w:r>
            <w:r>
              <w:rPr>
                <w:rFonts w:cs="Arial"/>
                <w:lang w:val="en-GB"/>
              </w:rPr>
              <w:t>Gap analysis</w:t>
            </w:r>
          </w:p>
          <w:p w:rsidRPr="001C7335" w:rsidR="00DF32D8" w:rsidP="007E2A4E" w:rsidRDefault="00DF32D8" w14:paraId="057FFEB0" w14:textId="77777777">
            <w:pPr>
              <w:rPr>
                <w:rFonts w:cs="Arial"/>
              </w:rPr>
            </w:pPr>
          </w:p>
          <w:p w:rsidRPr="001C7335" w:rsidR="007E2A4E" w:rsidP="007E2A4E" w:rsidRDefault="005912C9" w14:paraId="46B7E9C5" w14:textId="60DC8C9D">
            <w:pPr>
              <w:rPr>
                <w:rFonts w:cs="Arial"/>
              </w:rPr>
            </w:pPr>
            <w:r>
              <w:rPr>
                <w:noProof/>
              </w:rPr>
              <w:drawing>
                <wp:inline distT="0" distB="0" distL="0" distR="0" wp14:anchorId="037F2A7D" wp14:editId="245EB899">
                  <wp:extent cx="476885" cy="476885"/>
                  <wp:effectExtent l="0" t="0" r="0" b="0"/>
                  <wp:docPr id="942878960" name="Picture 2" descr="worksh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orkshop"/>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76885" cy="476885"/>
                          </a:xfrm>
                          <a:prstGeom prst="rect">
                            <a:avLst/>
                          </a:prstGeom>
                          <a:noFill/>
                          <a:ln>
                            <a:noFill/>
                          </a:ln>
                        </pic:spPr>
                      </pic:pic>
                    </a:graphicData>
                  </a:graphic>
                </wp:inline>
              </w:drawing>
            </w:r>
          </w:p>
        </w:tc>
        <w:tc>
          <w:tcPr>
            <w:tcW w:w="5226" w:type="dxa"/>
          </w:tcPr>
          <w:p w:rsidRPr="00F5635F" w:rsidR="00DF32D8" w:rsidP="007E2A4E" w:rsidRDefault="00381260" w14:paraId="18900A67" w14:textId="0F2DF05A">
            <w:pPr>
              <w:rPr>
                <w:rFonts w:cs="Arial"/>
                <w:lang w:val="en-GB"/>
              </w:rPr>
            </w:pPr>
            <w:r w:rsidRPr="001C7335">
              <w:rPr>
                <w:rFonts w:cs="Arial"/>
                <w:lang w:val="en-GB"/>
              </w:rPr>
              <w:t>Literature study will provide insights into already existing governance procedures and privacy protection strategies. </w:t>
            </w:r>
            <w:r w:rsidR="00C47A77">
              <w:rPr>
                <w:rFonts w:cs="Arial"/>
                <w:lang w:val="en-GB"/>
              </w:rPr>
              <w:t xml:space="preserve">By examining documents such as the </w:t>
            </w:r>
            <w:r w:rsidR="0018162C">
              <w:rPr>
                <w:rFonts w:cs="Arial"/>
                <w:lang w:val="en-GB"/>
              </w:rPr>
              <w:t xml:space="preserve">blueprint, GDPR frameworks and </w:t>
            </w:r>
            <w:r w:rsidR="0078416B">
              <w:rPr>
                <w:rFonts w:cs="Arial"/>
                <w:lang w:val="en-GB"/>
              </w:rPr>
              <w:t xml:space="preserve">other documentation to </w:t>
            </w:r>
            <w:r w:rsidR="00F5635F">
              <w:rPr>
                <w:rFonts w:cs="Arial"/>
                <w:lang w:val="en-GB"/>
              </w:rPr>
              <w:t>establish what is already in place and what is missing.</w:t>
            </w:r>
            <w:r w:rsidR="00600297">
              <w:rPr>
                <w:rFonts w:cs="Arial"/>
                <w:lang w:val="en-GB"/>
              </w:rPr>
              <w:t xml:space="preserve"> Comparison of the current </w:t>
            </w:r>
            <w:r w:rsidR="00826883">
              <w:rPr>
                <w:rFonts w:cs="Arial"/>
                <w:lang w:val="en-GB"/>
              </w:rPr>
              <w:t>governance</w:t>
            </w:r>
            <w:r w:rsidR="00600297">
              <w:rPr>
                <w:rFonts w:cs="Arial"/>
                <w:lang w:val="en-GB"/>
              </w:rPr>
              <w:t xml:space="preserve"> situation </w:t>
            </w:r>
            <w:r w:rsidR="00826883">
              <w:rPr>
                <w:rFonts w:cs="Arial"/>
                <w:lang w:val="en-GB"/>
              </w:rPr>
              <w:t xml:space="preserve">against </w:t>
            </w:r>
            <w:r w:rsidR="00F0366D">
              <w:rPr>
                <w:rFonts w:cs="Arial"/>
                <w:lang w:val="en-GB"/>
              </w:rPr>
              <w:t>the desired s</w:t>
            </w:r>
            <w:r w:rsidR="0086472F">
              <w:rPr>
                <w:rFonts w:cs="Arial"/>
                <w:lang w:val="en-GB"/>
              </w:rPr>
              <w:t xml:space="preserve">ituation </w:t>
            </w:r>
            <w:r w:rsidR="00FE6FAE">
              <w:rPr>
                <w:rFonts w:cs="Arial"/>
                <w:lang w:val="en-GB"/>
              </w:rPr>
              <w:t>found through library and field research, producing a structured overview of missing or insufficient pro</w:t>
            </w:r>
            <w:r w:rsidR="00DC4F42">
              <w:rPr>
                <w:rFonts w:cs="Arial"/>
                <w:lang w:val="en-GB"/>
              </w:rPr>
              <w:t>cedures.</w:t>
            </w:r>
          </w:p>
        </w:tc>
        <w:tc>
          <w:tcPr>
            <w:tcW w:w="2030" w:type="dxa"/>
          </w:tcPr>
          <w:p w:rsidRPr="001C7335" w:rsidR="00DF32D8" w:rsidP="007E2A4E" w:rsidRDefault="002A1886" w14:paraId="68EBD11B" w14:textId="41BF0274">
            <w:pPr>
              <w:rPr>
                <w:rFonts w:cs="Arial"/>
              </w:rPr>
            </w:pPr>
            <w:r w:rsidRPr="001C7335">
              <w:rPr>
                <w:rFonts w:cs="Arial"/>
                <w:lang w:val="en-GB"/>
              </w:rPr>
              <w:t xml:space="preserve">Stakeholder feedback on </w:t>
            </w:r>
            <w:r w:rsidR="0064576E">
              <w:rPr>
                <w:rFonts w:cs="Arial"/>
                <w:lang w:val="en-GB"/>
              </w:rPr>
              <w:t>research and Gap analysis</w:t>
            </w:r>
          </w:p>
        </w:tc>
        <w:tc>
          <w:tcPr>
            <w:tcW w:w="1675" w:type="dxa"/>
          </w:tcPr>
          <w:p w:rsidRPr="001C7335" w:rsidR="00DF32D8" w:rsidP="007E2A4E" w:rsidRDefault="002A1886" w14:paraId="39C1E1C9" w14:textId="22CEC512">
            <w:pPr>
              <w:rPr>
                <w:rFonts w:cs="Arial"/>
              </w:rPr>
            </w:pPr>
            <w:r w:rsidRPr="001C7335">
              <w:rPr>
                <w:rFonts w:cs="Arial"/>
                <w:lang w:val="en-GB"/>
              </w:rPr>
              <w:t xml:space="preserve">Defined </w:t>
            </w:r>
            <w:r w:rsidRPr="001C7335" w:rsidR="0056255D">
              <w:rPr>
                <w:rFonts w:cs="Arial"/>
                <w:lang w:val="en-GB"/>
              </w:rPr>
              <w:t>governance procedures, practical protocols and validated prototypes supporting responsible data usage</w:t>
            </w:r>
            <w:r w:rsidRPr="001C7335" w:rsidR="00DF32D8">
              <w:rPr>
                <w:rFonts w:cs="Arial"/>
              </w:rPr>
              <w:t> </w:t>
            </w:r>
          </w:p>
        </w:tc>
      </w:tr>
    </w:tbl>
    <w:p w:rsidR="00DF32D8" w:rsidRDefault="00DF32D8" w14:paraId="2F45503B" w14:textId="77777777">
      <w:pPr>
        <w:rPr>
          <w:rFonts w:ascii="Calibri" w:hAnsi="Calibri" w:cs="Calibri"/>
        </w:rPr>
      </w:pPr>
    </w:p>
    <w:p w:rsidR="007628B0" w:rsidP="00ED5BA8" w:rsidRDefault="00411A6C" w14:paraId="193DE7EC" w14:textId="5A3C2EE0">
      <w:pPr>
        <w:pStyle w:val="Heading2"/>
        <w:numPr>
          <w:ilvl w:val="1"/>
          <w:numId w:val="13"/>
        </w:numPr>
        <w:rPr>
          <w:rFonts w:cs="Calibri"/>
          <w:bCs/>
        </w:rPr>
      </w:pPr>
      <w:bookmarkStart w:name="_Toc231982068" w:id="37"/>
      <w:r>
        <w:rPr>
          <w:rFonts w:cs="Calibri"/>
          <w:bCs/>
        </w:rPr>
        <w:t>Library</w:t>
      </w:r>
      <w:bookmarkEnd w:id="37"/>
    </w:p>
    <w:p w:rsidRPr="00515215" w:rsidR="005E4F98" w:rsidP="005E4F98" w:rsidRDefault="005E4F98" w14:paraId="30066935" w14:textId="1F8461D5">
      <w:pPr>
        <w:rPr>
          <w:b/>
          <w:bCs/>
        </w:rPr>
      </w:pPr>
      <w:r w:rsidRPr="005E4F98">
        <w:rPr>
          <w:b/>
          <w:bCs/>
        </w:rPr>
        <w:t>Responsible Data Usage in Smart City Data Spaces</w:t>
      </w:r>
    </w:p>
    <w:p w:rsidRPr="00E37509" w:rsidR="00E37509" w:rsidP="00E54DB5" w:rsidRDefault="00E37509" w14:paraId="046AFE21" w14:textId="77777777">
      <w:r w:rsidRPr="00E37509">
        <w:t>The growing use of data-driven technologies in smart cities has created significant opportunities to improve public services, sustainability, and urban management. At the same time, it raises important concerns regarding privacy, ethical data use, and power imbalances. Responsible data usage therefore requires not only technical solutions, but also alignment with legal frameworks, ethical principles, and governance structures.</w:t>
      </w:r>
    </w:p>
    <w:p w:rsidRPr="00E37509" w:rsidR="00E37509" w:rsidP="00E54DB5" w:rsidRDefault="00E37509" w14:paraId="17A3F548" w14:textId="77777777"/>
    <w:p w:rsidRPr="00E37509" w:rsidR="00E37509" w:rsidP="00E54DB5" w:rsidRDefault="00E37509" w14:paraId="080594F7" w14:textId="39B08FF6">
      <w:r w:rsidRPr="00E37509">
        <w:t xml:space="preserve">A key approach to enabling responsible data sharing is reflected in the European Data Space for Smart Communities (DS4SSCC), which promotes a federated data architecture in which data remains with its original owner while being shared through interoperable systems (DS4SSCC, n.d.). This model aligns with the broader European Data Strategy, which aims to create common European data spaces that ensure data availability while preserving sovereignty and trust. Similarly, the </w:t>
      </w:r>
      <w:r w:rsidRPr="00E37509">
        <w:t>International Data Spaces Association emphasizes data sovereignty, meaning that data providers retain control over how their data is accessed and used.</w:t>
      </w:r>
    </w:p>
    <w:p w:rsidRPr="00E37509" w:rsidR="00E37509" w:rsidP="00E54DB5" w:rsidRDefault="00E37509" w14:paraId="593077FC" w14:textId="77777777"/>
    <w:p w:rsidRPr="00E37509" w:rsidR="00E37509" w:rsidP="00E54DB5" w:rsidRDefault="00E37509" w14:paraId="3377D77D" w14:textId="51AFD0C9">
      <w:r w:rsidRPr="00E37509">
        <w:t>These approaches demonstrate that societal value</w:t>
      </w:r>
      <w:r w:rsidR="003F3A63">
        <w:t xml:space="preserve">, </w:t>
      </w:r>
      <w:r w:rsidRPr="00E37509">
        <w:t>such as improved mobility and environmental monitoring</w:t>
      </w:r>
      <w:r w:rsidR="00682D83">
        <w:t>,</w:t>
      </w:r>
      <w:r w:rsidR="0016210E">
        <w:t xml:space="preserve"> </w:t>
      </w:r>
      <w:r w:rsidRPr="00E37509">
        <w:t>can be achieved without centralizing data. Instead, controlled access and interoperability enable collaboration while reducing privacy risks. Multi-stakeholder governance further ensures that decision-making remains transparent and accountable.</w:t>
      </w:r>
    </w:p>
    <w:p w:rsidRPr="00E37509" w:rsidR="00E37509" w:rsidP="00E54DB5" w:rsidRDefault="00E37509" w14:paraId="1792A131" w14:textId="77777777"/>
    <w:p w:rsidRPr="00E37509" w:rsidR="00E37509" w:rsidP="00E54DB5" w:rsidRDefault="00E37509" w14:paraId="6F3E92EA" w14:textId="77777777">
      <w:r w:rsidRPr="00E37509">
        <w:t>Legal frameworks reinforce these principles. The Data Governance Act establishes mechanisms for trustworthy data sharing across sectors (European Parliament &amp; Council of the European Union, 2022). It introduces data intermediaries to facilitate neutral data exchange and promotes data altruism for societal benefit. Crucially, it also requires clear roles, oversight, and auditing mechanisms, ensuring that data usage remains transparent and controlled in complex, multi-actor environments.</w:t>
      </w:r>
    </w:p>
    <w:p w:rsidRPr="00E37509" w:rsidR="00E37509" w:rsidP="00E54DB5" w:rsidRDefault="00E37509" w14:paraId="4E970B1A" w14:textId="77777777"/>
    <w:p w:rsidRPr="00E37509" w:rsidR="00E37509" w:rsidP="00E54DB5" w:rsidRDefault="00E37509" w14:paraId="1391B419" w14:textId="77777777">
      <w:r w:rsidRPr="00E37509">
        <w:t>In parallel, the General Data Protection Regulation defines strict requirements for processing personal data (European Parliament &amp; Council of the European Union, 2016). Principles such as purpose limitation, data minimization, and accountability ensure that personal or identifiable data is used only when necessary and in a lawful manner. These legal safeguards are particularly important in smart city contexts, where even seemingly neutral datasets (e.g., mobility or environmental data) may indirectly reveal individual behavior.</w:t>
      </w:r>
    </w:p>
    <w:p w:rsidRPr="00E37509" w:rsidR="00E37509" w:rsidP="00E54DB5" w:rsidRDefault="00E37509" w14:paraId="57B6D9C7" w14:textId="77777777"/>
    <w:p w:rsidRPr="00E37509" w:rsidR="00E37509" w:rsidP="00E54DB5" w:rsidRDefault="00E37509" w14:paraId="1CCD9810" w14:textId="77777777">
      <w:r w:rsidRPr="00E37509">
        <w:t>Beyond legal compliance, ethical considerations are essential. The guidelines from the European Commission on trustworthy digital systems emphasize transparency, accountability, and human oversight. These principles highlight that responsible data use is not only about following regulations, but also about ensuring fairness and preventing harm. This perspective is reinforced by Shoshana Zuboff, who warns that data-driven systems can create asymmetries of power if data is exploited without sufficient control or awareness.</w:t>
      </w:r>
    </w:p>
    <w:p w:rsidRPr="00E37509" w:rsidR="00E37509" w:rsidP="00E54DB5" w:rsidRDefault="00E37509" w14:paraId="164F5F74" w14:textId="77777777"/>
    <w:p w:rsidRPr="00E37509" w:rsidR="00E37509" w:rsidP="00E54DB5" w:rsidRDefault="00E37509" w14:paraId="7E0D9D1C" w14:textId="77777777">
      <w:r w:rsidRPr="00E37509">
        <w:t xml:space="preserve">Risks of misuse further underline the need for strong governance. Hannah Ruschemeier (2022) shows how data brokers often aggregate and reuse data without transparency or user consent. While smart city dataspaces may not involve commercial brokers, similar risks arise when data is reused beyond its intended purpose or shared without proper oversight. Preventing such misuse requires clear </w:t>
      </w:r>
      <w:r w:rsidRPr="00E37509">
        <w:t>usage restrictions, transparency in data flows, and enforceable accountability mechanisms.</w:t>
      </w:r>
    </w:p>
    <w:p w:rsidRPr="00E37509" w:rsidR="00E37509" w:rsidP="00E54DB5" w:rsidRDefault="00E37509" w14:paraId="6B512F4F" w14:textId="77777777"/>
    <w:p w:rsidRPr="00E37509" w:rsidR="00E37509" w:rsidP="00E54DB5" w:rsidRDefault="00E37509" w14:paraId="2490D885" w14:textId="77777777">
      <w:r w:rsidRPr="00E37509">
        <w:t xml:space="preserve">To </w:t>
      </w:r>
      <w:proofErr w:type="gramStart"/>
      <w:r w:rsidRPr="00E37509">
        <w:t>operationalize</w:t>
      </w:r>
      <w:proofErr w:type="gramEnd"/>
      <w:r w:rsidRPr="00E37509">
        <w:t xml:space="preserve"> these requirements, structured data governance is necessary. The framework by Robert Abraham, Johannes Schneider, and Jan vom Brocke (2019) emphasizes the importance of defined roles, processes, and policies. Assigning responsibilities to data owners, stewards, and users, combined with monitoring and compliance procedures, ensures that data is managed consistently and responsibly across its lifecycle.</w:t>
      </w:r>
    </w:p>
    <w:p w:rsidRPr="00E37509" w:rsidR="00E37509" w:rsidP="00E54DB5" w:rsidRDefault="00E37509" w14:paraId="63CF32AB" w14:textId="77777777"/>
    <w:p w:rsidRPr="00E37509" w:rsidR="00E37509" w:rsidP="00E54DB5" w:rsidRDefault="00E37509" w14:paraId="1ED7A77C" w14:textId="77777777">
      <w:r w:rsidRPr="00E37509">
        <w:t>Finally, technical solutions such as Privacy-Enhancing Technologies (e.g., anonymization, pseudonymization, and federated learning) play a crucial role in protecting privacy while enabling data use. Reports by the European Union Agency for Cybersecurity highlight how such technologies can reduce risks without limiting innovation.</w:t>
      </w:r>
    </w:p>
    <w:p w:rsidRPr="00E37509" w:rsidR="00E37509" w:rsidP="00E54DB5" w:rsidRDefault="00E37509" w14:paraId="5240FFF6" w14:textId="77777777"/>
    <w:p w:rsidR="00E54DB5" w:rsidP="00E54DB5" w:rsidRDefault="00E37509" w14:paraId="1B445340" w14:textId="77777777">
      <w:r w:rsidRPr="00E37509">
        <w:t>In conclusion, responsible data usage in smart city environments depends on the integration of federated technical systems, robust legal frameworks, ethical principles, and effective governance structures. Together, these elements enable data to be used in a controlled and transparent way that maximizes societal value while safeguarding privacy and maintaining public trust</w:t>
      </w:r>
    </w:p>
    <w:p w:rsidRPr="00E37509" w:rsidR="007628B0" w:rsidP="00933C82" w:rsidRDefault="00B9693A" w14:paraId="00C2A0EB" w14:textId="76B78221">
      <w:pPr>
        <w:pStyle w:val="Heading2"/>
        <w:numPr>
          <w:ilvl w:val="1"/>
          <w:numId w:val="13"/>
        </w:numPr>
      </w:pPr>
      <w:bookmarkStart w:name="_Toc231982069" w:id="38"/>
      <w:r>
        <w:t>Field</w:t>
      </w:r>
      <w:bookmarkEnd w:id="38"/>
    </w:p>
    <w:p w:rsidR="007628B0" w:rsidP="007628B0" w:rsidRDefault="00315D89" w14:paraId="45A3F711" w14:textId="5C6B807C">
      <w:r>
        <w:t xml:space="preserve">To understand </w:t>
      </w:r>
      <w:r w:rsidR="008F4D46">
        <w:t xml:space="preserve">what governance protocols are </w:t>
      </w:r>
      <w:r w:rsidR="00C23C37">
        <w:t xml:space="preserve">already in place for the Inzicht Verlicht dataspace, a document analysis was done on the most relevant </w:t>
      </w:r>
      <w:r w:rsidR="00F41818">
        <w:t xml:space="preserve">documentation. </w:t>
      </w:r>
      <w:r w:rsidR="00466072">
        <w:t xml:space="preserve">The main documents that were </w:t>
      </w:r>
      <w:proofErr w:type="gramStart"/>
      <w:r w:rsidR="00466072">
        <w:t>looked into</w:t>
      </w:r>
      <w:proofErr w:type="gramEnd"/>
      <w:r w:rsidR="00466072">
        <w:t xml:space="preserve"> </w:t>
      </w:r>
      <w:r w:rsidR="00267AEB">
        <w:t xml:space="preserve">were </w:t>
      </w:r>
      <w:proofErr w:type="gramStart"/>
      <w:r w:rsidR="00267AEB">
        <w:t xml:space="preserve">the </w:t>
      </w:r>
      <w:r w:rsidR="00C51EE7">
        <w:t>Blueprint</w:t>
      </w:r>
      <w:proofErr w:type="gramEnd"/>
      <w:r w:rsidR="00C51EE7">
        <w:t xml:space="preserve"> Evolution 2.3, the previous group’s</w:t>
      </w:r>
      <w:r w:rsidR="00093C9F">
        <w:t xml:space="preserve"> Privacy and Data Security Plan, and the business advice document provided by the previous group</w:t>
      </w:r>
      <w:r w:rsidR="00980A9B">
        <w:t xml:space="preserve">. </w:t>
      </w:r>
      <w:r w:rsidR="00AB51EF">
        <w:t xml:space="preserve">These documents </w:t>
      </w:r>
      <w:r w:rsidR="00C35E9A">
        <w:t>set the current baseline from which the gaps will be identified</w:t>
      </w:r>
      <w:r w:rsidR="00BB66DB">
        <w:t xml:space="preserve"> in the </w:t>
      </w:r>
      <w:r w:rsidR="004E6D2E">
        <w:t xml:space="preserve">following </w:t>
      </w:r>
      <w:r w:rsidR="00BB66DB">
        <w:t>workshop</w:t>
      </w:r>
      <w:r w:rsidR="00C35E9A">
        <w:t>.</w:t>
      </w:r>
    </w:p>
    <w:p w:rsidR="00C35E9A" w:rsidP="007628B0" w:rsidRDefault="00CD495D" w14:paraId="6FD5088F" w14:textId="1D415DC0">
      <w:r>
        <w:t xml:space="preserve">The </w:t>
      </w:r>
      <w:r w:rsidR="00BA5888">
        <w:t xml:space="preserve">Blueprint Evolution gives the </w:t>
      </w:r>
      <w:r w:rsidR="0008749B">
        <w:t xml:space="preserve">most comprehensive governance overview for the project. </w:t>
      </w:r>
      <w:r w:rsidR="00066D28">
        <w:t xml:space="preserve">In </w:t>
      </w:r>
      <w:r w:rsidR="00963AB4">
        <w:t>it the</w:t>
      </w:r>
      <w:r w:rsidR="00066D28">
        <w:t xml:space="preserve"> roles a</w:t>
      </w:r>
      <w:r w:rsidR="003D71EF">
        <w:t>nd responsibilities are defined for participatory, intermediary</w:t>
      </w:r>
      <w:r w:rsidR="00D016DA">
        <w:t>, and governing actors</w:t>
      </w:r>
      <w:r w:rsidR="001C1ED1">
        <w:t xml:space="preserve">. It also outlines </w:t>
      </w:r>
      <w:r w:rsidR="00BA6B68">
        <w:t>contractual frameworks which include institutional agreements, data-sharing agreements, and service agreement</w:t>
      </w:r>
      <w:r w:rsidR="00357056">
        <w:t xml:space="preserve">s. </w:t>
      </w:r>
      <w:r w:rsidR="002D3742">
        <w:t>It also describes the onboarding and offboarding processes</w:t>
      </w:r>
      <w:r w:rsidR="00CA5276">
        <w:t xml:space="preserve"> an</w:t>
      </w:r>
      <w:r w:rsidR="00217965">
        <w:t xml:space="preserve">d </w:t>
      </w:r>
      <w:proofErr w:type="gramStart"/>
      <w:r w:rsidR="00A85DD7">
        <w:t>notes</w:t>
      </w:r>
      <w:proofErr w:type="gramEnd"/>
      <w:r w:rsidR="00A85DD7">
        <w:t xml:space="preserve"> how to monitor</w:t>
      </w:r>
      <w:r w:rsidR="00163249">
        <w:t xml:space="preserve"> through API-key tracking as </w:t>
      </w:r>
      <w:r w:rsidR="007D2663">
        <w:t>the recommended method for usage oversight.</w:t>
      </w:r>
      <w:r w:rsidR="0075027F">
        <w:t xml:space="preserve"> </w:t>
      </w:r>
      <w:r w:rsidR="00963AB4">
        <w:t>However,</w:t>
      </w:r>
      <w:r w:rsidR="00EA68E8">
        <w:t xml:space="preserve"> in the document itself</w:t>
      </w:r>
      <w:r w:rsidR="00963AB4">
        <w:t>,</w:t>
      </w:r>
      <w:r w:rsidR="00EA68E8">
        <w:t xml:space="preserve"> it is mentioned that there are significant gaps</w:t>
      </w:r>
      <w:r w:rsidR="00963AB4">
        <w:t>,</w:t>
      </w:r>
      <w:r w:rsidR="00EA68E8">
        <w:t xml:space="preserve"> such as: ethics a</w:t>
      </w:r>
      <w:r w:rsidR="00E33258">
        <w:t>ssessments that have not been practically implemented with</w:t>
      </w:r>
      <w:r w:rsidR="008D214F">
        <w:t xml:space="preserve"> </w:t>
      </w:r>
      <w:r w:rsidR="00E33258">
        <w:t>pilots,</w:t>
      </w:r>
      <w:r w:rsidR="00A76CFC">
        <w:t xml:space="preserve"> provenance and traceability methods not being set</w:t>
      </w:r>
      <w:r w:rsidR="00F92C58">
        <w:t xml:space="preserve"> across all pilots and implementations. Additionally</w:t>
      </w:r>
      <w:r w:rsidR="00963AB4">
        <w:t>,</w:t>
      </w:r>
      <w:r w:rsidR="00F92C58">
        <w:t xml:space="preserve"> ongoing audit mechanisms </w:t>
      </w:r>
      <w:r w:rsidR="00963AB4">
        <w:t>that go beyond the point of onboarding are not defined in this document yet.</w:t>
      </w:r>
    </w:p>
    <w:p w:rsidR="00963AB4" w:rsidP="007628B0" w:rsidRDefault="00862BEB" w14:paraId="3E371B52" w14:textId="0B33423C">
      <w:r>
        <w:t xml:space="preserve">The Privacy and Data Security Plan from the previous project groups </w:t>
      </w:r>
      <w:r w:rsidR="006371D9">
        <w:t>provides a structured 5-step approach to data handling: Plan, Design, Prepare, Collect, and Analyse</w:t>
      </w:r>
      <w:r w:rsidR="00A43D32">
        <w:t>. Share and reference</w:t>
      </w:r>
      <w:r w:rsidR="007F19C7">
        <w:t xml:space="preserve">s integration are in line with standards </w:t>
      </w:r>
      <w:r w:rsidR="00410B2F">
        <w:t xml:space="preserve">from ISO 27001, NIST, and GDPR. </w:t>
      </w:r>
      <w:r w:rsidR="002C12D3">
        <w:t xml:space="preserve">While this gives a useful baseline </w:t>
      </w:r>
      <w:r w:rsidR="00246A49">
        <w:t xml:space="preserve">on the topic of procedures, the </w:t>
      </w:r>
      <w:r w:rsidR="00184D03">
        <w:t>approach</w:t>
      </w:r>
      <w:r w:rsidR="00246A49">
        <w:t xml:space="preserve"> itself is waterfall</w:t>
      </w:r>
      <w:r w:rsidR="00184D03">
        <w:t>,</w:t>
      </w:r>
      <w:r w:rsidR="00246A49">
        <w:t xml:space="preserve"> which means it does not </w:t>
      </w:r>
      <w:r w:rsidR="008C0FA1">
        <w:t xml:space="preserve">account for iterative governance reviews or the potential change of conditions that could come </w:t>
      </w:r>
      <w:r w:rsidR="00184D03">
        <w:t>as the dataspace expands and new participants join.</w:t>
      </w:r>
      <w:r w:rsidR="008F0B8D">
        <w:t xml:space="preserve"> This document also does not </w:t>
      </w:r>
      <w:r w:rsidR="00E00C3D">
        <w:t>address intermediary roles or the municipality’s dual role as data holder and primary user.</w:t>
      </w:r>
      <w:r w:rsidR="00E00C3D">
        <w:br/>
      </w:r>
      <w:r w:rsidRPr="006D58C8" w:rsidR="006D58C8">
        <w:t xml:space="preserve">The </w:t>
      </w:r>
      <w:r w:rsidR="006D58C8">
        <w:t>b</w:t>
      </w:r>
      <w:r w:rsidRPr="006D58C8" w:rsidR="006D58C8">
        <w:t xml:space="preserve">usiness </w:t>
      </w:r>
      <w:r w:rsidR="006D58C8">
        <w:t>a</w:t>
      </w:r>
      <w:r w:rsidRPr="006D58C8" w:rsidR="006D58C8">
        <w:t xml:space="preserve">dvice report touches on operational recommendations but does not define </w:t>
      </w:r>
      <w:r w:rsidR="006D58C8">
        <w:t xml:space="preserve">any </w:t>
      </w:r>
      <w:r w:rsidRPr="006D58C8" w:rsidR="006D58C8">
        <w:t xml:space="preserve">procedures </w:t>
      </w:r>
      <w:r w:rsidR="006D58C8">
        <w:t>on</w:t>
      </w:r>
      <w:r w:rsidRPr="006D58C8" w:rsidR="006D58C8">
        <w:t xml:space="preserve"> how stakeholders and intermediaries should be governed in their data exchange activities. It </w:t>
      </w:r>
      <w:r w:rsidR="006D58C8">
        <w:t>gives</w:t>
      </w:r>
      <w:r w:rsidRPr="006D58C8" w:rsidR="006D58C8">
        <w:t xml:space="preserve"> no guidance on access approval processes, data-sharing conditions, or mechanisms for ensuring that data use remains aligned with its intended societal purpose</w:t>
      </w:r>
    </w:p>
    <w:p w:rsidR="006D58C8" w:rsidP="007628B0" w:rsidRDefault="006D58C8" w14:paraId="0E5C49E5" w14:textId="7CE08FD9">
      <w:r>
        <w:t>Across all three documents, it is consistent</w:t>
      </w:r>
      <w:r w:rsidR="00FB37F3">
        <w:t xml:space="preserve">ly found that </w:t>
      </w:r>
      <w:r w:rsidR="00265E8A">
        <w:t>while</w:t>
      </w:r>
      <w:r w:rsidR="00FB37F3">
        <w:t xml:space="preserve"> governance roles and privacy principles are referenced, the actual procedures that are needed to make stakeholders and intermediaries accountable</w:t>
      </w:r>
      <w:r w:rsidR="001E5596">
        <w:t xml:space="preserve">, such as access approval workflows, </w:t>
      </w:r>
      <w:r w:rsidR="00265E8A">
        <w:t>intermediary</w:t>
      </w:r>
      <w:r w:rsidR="001E5596">
        <w:t xml:space="preserve"> oversight mechanisms, and societal value conditions in data-sharing agree</w:t>
      </w:r>
      <w:r w:rsidR="00265E8A">
        <w:t>ments, aren’t properly defined.</w:t>
      </w:r>
    </w:p>
    <w:p w:rsidRPr="00724661" w:rsidR="00C80635" w:rsidP="007628B0" w:rsidRDefault="00C80635" w14:paraId="79F4551B" w14:textId="77777777"/>
    <w:p w:rsidRPr="00C80635" w:rsidR="007628B0" w:rsidP="00933C82" w:rsidRDefault="00933C82" w14:paraId="3E4A1AA6" w14:textId="5EAC298C">
      <w:pPr>
        <w:pStyle w:val="Heading2"/>
        <w:rPr>
          <w:rFonts w:cs="Calibri"/>
          <w:bCs/>
          <w:lang w:val="en-US"/>
        </w:rPr>
      </w:pPr>
      <w:bookmarkStart w:name="_Toc231982070" w:id="39"/>
      <w:r w:rsidRPr="00C80635">
        <w:rPr>
          <w:rFonts w:cs="Calibri"/>
          <w:bCs/>
          <w:lang w:val="en-US"/>
        </w:rPr>
        <w:t>6.3 Workshop</w:t>
      </w:r>
      <w:bookmarkEnd w:id="39"/>
    </w:p>
    <w:p w:rsidRPr="0070091C" w:rsidR="007628B0" w:rsidP="007628B0" w:rsidRDefault="002B52E3" w14:paraId="3BED1E95" w14:textId="026CD3B7">
      <w:r>
        <w:t xml:space="preserve">From </w:t>
      </w:r>
      <w:r w:rsidR="00417C12">
        <w:t>both taking</w:t>
      </w:r>
      <w:r>
        <w:t xml:space="preserve"> the original blueprint and putting it up against the desired situation</w:t>
      </w:r>
      <w:r w:rsidR="00E55101">
        <w:t>, we can get several aspects that are still missing</w:t>
      </w:r>
      <w:r w:rsidR="00417C12">
        <w:t xml:space="preserve">. The </w:t>
      </w:r>
      <w:r w:rsidR="002A1497">
        <w:t>focus</w:t>
      </w:r>
      <w:r w:rsidR="00417C12">
        <w:t xml:space="preserve"> on the blueprint is on the </w:t>
      </w:r>
      <w:r w:rsidR="002A1497">
        <w:t>governance structure and technical architecture, but bare</w:t>
      </w:r>
      <w:r w:rsidR="00E6588D">
        <w:t>ly touches on “responsible use”, which is an important part of the deployment of such a dataspace.</w:t>
      </w:r>
    </w:p>
    <w:p w:rsidR="00E6588D" w:rsidP="007628B0" w:rsidRDefault="00E6588D" w14:paraId="1894C252" w14:textId="77777777"/>
    <w:p w:rsidR="00AB347B" w:rsidRDefault="00AB347B" w14:paraId="551E0871" w14:textId="77777777">
      <w:pPr>
        <w:rPr>
          <w:b/>
          <w:bCs/>
        </w:rPr>
      </w:pPr>
      <w:r>
        <w:rPr>
          <w:b/>
          <w:bCs/>
        </w:rPr>
        <w:br w:type="page"/>
      </w:r>
    </w:p>
    <w:p w:rsidRPr="00AB347B" w:rsidR="00AB347B" w:rsidP="00AB347B" w:rsidRDefault="00AB347B" w14:paraId="5CBFCBAA" w14:textId="7623C3DE">
      <w:r w:rsidRPr="00AB347B">
        <w:rPr>
          <w:b/>
          <w:bCs/>
        </w:rPr>
        <w:t>1. Privacy-Enhancing Technologies (PETs)</w:t>
      </w:r>
    </w:p>
    <w:p w:rsidRPr="00AB347B" w:rsidR="00AB347B" w:rsidP="00AB347B" w:rsidRDefault="00AB347B" w14:paraId="44F51C0A" w14:textId="272F2DF5">
      <w:r w:rsidRPr="00AB347B">
        <w:t xml:space="preserve">Drawing on ENISA reports, tools like anonymization, pseudonymization, and federated learning are essential to protect privacy while enabling data </w:t>
      </w:r>
      <w:proofErr w:type="gramStart"/>
      <w:r w:rsidRPr="00AB347B">
        <w:t>use</w:t>
      </w:r>
      <w:r w:rsidR="001D7C1A">
        <w:t xml:space="preserve">, </w:t>
      </w:r>
      <w:r w:rsidRPr="00AB347B">
        <w:t>and</w:t>
      </w:r>
      <w:proofErr w:type="gramEnd"/>
      <w:r w:rsidRPr="00AB347B">
        <w:t xml:space="preserve"> should be structurally embedded in smart city data systems.</w:t>
      </w:r>
    </w:p>
    <w:p w:rsidRPr="00AB347B" w:rsidR="00AB347B" w:rsidP="00AB347B" w:rsidRDefault="00AB347B" w14:paraId="0A4178F6" w14:textId="77777777">
      <w:r w:rsidRPr="00AB347B">
        <w:rPr>
          <w:b/>
          <w:bCs/>
        </w:rPr>
        <w:t>What the blueprint has:</w:t>
      </w:r>
      <w:r w:rsidRPr="00AB347B">
        <w:t xml:space="preserve"> It only mentions anonymization as a responsibility of data providers </w:t>
      </w:r>
      <w:r w:rsidRPr="00AB347B">
        <w:rPr>
          <w:b/>
          <w:bCs/>
        </w:rPr>
        <w:t>(Table 8)</w:t>
      </w:r>
      <w:r w:rsidRPr="00AB347B">
        <w:t xml:space="preserve"> and briefly flags re-identification risk </w:t>
      </w:r>
      <w:r w:rsidRPr="00AB347B">
        <w:rPr>
          <w:b/>
          <w:bCs/>
        </w:rPr>
        <w:t>(p. 61).</w:t>
      </w:r>
      <w:r w:rsidRPr="00AB347B">
        <w:t xml:space="preserve"> Federated learning gets one passing mention </w:t>
      </w:r>
      <w:r w:rsidRPr="00AB347B">
        <w:rPr>
          <w:b/>
          <w:bCs/>
        </w:rPr>
        <w:t>(p. 5632).</w:t>
      </w:r>
      <w:r w:rsidRPr="00AB347B">
        <w:t xml:space="preserve"> There is no guidance on </w:t>
      </w:r>
      <w:r w:rsidRPr="00AB347B">
        <w:rPr>
          <w:i/>
          <w:iCs/>
        </w:rPr>
        <w:t>when</w:t>
      </w:r>
      <w:r w:rsidRPr="00AB347B">
        <w:t xml:space="preserve"> or </w:t>
      </w:r>
      <w:r w:rsidRPr="00AB347B">
        <w:rPr>
          <w:i/>
          <w:iCs/>
        </w:rPr>
        <w:t>how</w:t>
      </w:r>
      <w:r w:rsidRPr="00AB347B">
        <w:t xml:space="preserve"> these technologies should be applied, no recommended standards, and no requirement to implement them.</w:t>
      </w:r>
    </w:p>
    <w:p w:rsidRPr="00AB347B" w:rsidR="00AB347B" w:rsidP="00AB347B" w:rsidRDefault="00AB347B" w14:paraId="0CCA3A3B" w14:textId="77777777">
      <w:r w:rsidRPr="00AB347B">
        <w:rPr>
          <w:b/>
          <w:bCs/>
        </w:rPr>
        <w:t>What policies say this should be there:</w:t>
      </w:r>
    </w:p>
    <w:p w:rsidRPr="00AB347B" w:rsidR="00AB347B" w:rsidP="00AB347B" w:rsidRDefault="00AB347B" w14:paraId="45289A23" w14:textId="46585AD9">
      <w:pPr>
        <w:numPr>
          <w:ilvl w:val="0"/>
          <w:numId w:val="30"/>
        </w:numPr>
      </w:pPr>
      <w:r w:rsidRPr="00AB347B">
        <w:t>GDPR Article 25 (</w:t>
      </w:r>
      <w:r w:rsidRPr="00AB347B">
        <w:rPr>
          <w:i/>
          <w:iCs/>
        </w:rPr>
        <w:t>Data Protection by Design and by Default</w:t>
      </w:r>
      <w:r w:rsidRPr="00AB347B">
        <w:t>) requires technical measures</w:t>
      </w:r>
      <w:r w:rsidR="001D7C1A">
        <w:t>,</w:t>
      </w:r>
      <w:r w:rsidRPr="00AB347B">
        <w:t xml:space="preserve"> including pseudonymization</w:t>
      </w:r>
      <w:r w:rsidR="001D7C1A">
        <w:t>, t</w:t>
      </w:r>
      <w:r w:rsidRPr="00AB347B">
        <w:t>o be built into systems from the start, not added later.</w:t>
      </w:r>
    </w:p>
    <w:p w:rsidRPr="00AB347B" w:rsidR="00AB347B" w:rsidP="00AB347B" w:rsidRDefault="00AB347B" w14:paraId="41AE0D1A" w14:textId="77777777">
      <w:pPr>
        <w:numPr>
          <w:ilvl w:val="0"/>
          <w:numId w:val="30"/>
        </w:numPr>
      </w:pPr>
      <w:r w:rsidRPr="00AB347B">
        <w:t>GDPR Article 89 specifically mentions anonymization and pseudonymization as safeguards for research and public interest processing.</w:t>
      </w:r>
    </w:p>
    <w:p w:rsidRPr="00AB347B" w:rsidR="00AB347B" w:rsidP="00AB347B" w:rsidRDefault="00AB347B" w14:paraId="4D3976DC" w14:textId="77777777">
      <w:pPr>
        <w:numPr>
          <w:ilvl w:val="0"/>
          <w:numId w:val="30"/>
        </w:numPr>
      </w:pPr>
      <w:r w:rsidRPr="00AB347B">
        <w:t>ENISA's PET guidelines recommend concrete implementation of these tools as baseline practice for any system handling personal or sensitive data.</w:t>
      </w:r>
    </w:p>
    <w:p w:rsidR="00AB347B" w:rsidP="00AB347B" w:rsidRDefault="00AB347B" w14:paraId="3091BCA6" w14:textId="654E89DA">
      <w:r w:rsidRPr="00AB347B">
        <w:rPr>
          <w:b/>
          <w:bCs/>
        </w:rPr>
        <w:t>Source:</w:t>
      </w:r>
      <w:r w:rsidRPr="00AB347B">
        <w:t xml:space="preserve"> European Union Agency for Cybersecurity (ENISA) </w:t>
      </w:r>
      <w:r w:rsidRPr="00AB347B">
        <w:rPr>
          <w:i/>
          <w:iCs/>
        </w:rPr>
        <w:t>Privacy Enhancing Technologies: A Review</w:t>
      </w:r>
      <w:r w:rsidRPr="00AB347B">
        <w:t>.</w:t>
      </w:r>
    </w:p>
    <w:p w:rsidRPr="00820925" w:rsidR="00820925" w:rsidP="00820925" w:rsidRDefault="00820925" w14:paraId="3F1F369E" w14:textId="77777777">
      <w:r w:rsidRPr="00820925">
        <w:rPr>
          <w:b/>
          <w:bCs/>
        </w:rPr>
        <w:t>2. Risks of data misuse and reuse beyond intended purpose</w:t>
      </w:r>
    </w:p>
    <w:p w:rsidRPr="00820925" w:rsidR="00820925" w:rsidP="00820925" w:rsidRDefault="00820925" w14:paraId="2B7F0F96" w14:textId="4EE61557">
      <w:r w:rsidRPr="00820925">
        <w:t>Referencing Ruschemeier (2022), data can be aggregated and reused without transparency or user consent</w:t>
      </w:r>
      <w:r w:rsidR="00A915E1">
        <w:t xml:space="preserve">, </w:t>
      </w:r>
      <w:r w:rsidRPr="00820925">
        <w:t>and even non-commercial data spaces face the same risk when data is shared without proper oversight.</w:t>
      </w:r>
    </w:p>
    <w:p w:rsidRPr="00820925" w:rsidR="00820925" w:rsidP="00820925" w:rsidRDefault="00820925" w14:paraId="4485AC35" w14:textId="200992C6">
      <w:r w:rsidRPr="00820925">
        <w:rPr>
          <w:b/>
          <w:bCs/>
        </w:rPr>
        <w:t>What the blueprint has:</w:t>
      </w:r>
      <w:r w:rsidRPr="00820925">
        <w:t xml:space="preserve"> It mentions data brokers as neutral technical intermediaries </w:t>
      </w:r>
      <w:r w:rsidRPr="00820925">
        <w:rPr>
          <w:b/>
          <w:bCs/>
        </w:rPr>
        <w:t>(p. 482, p. 5722)</w:t>
      </w:r>
      <w:r w:rsidRPr="00820925">
        <w:t xml:space="preserve"> and acknowledges misuse risk abstractly </w:t>
      </w:r>
      <w:r w:rsidRPr="00820925">
        <w:rPr>
          <w:b/>
          <w:bCs/>
        </w:rPr>
        <w:t xml:space="preserve">(p. 2049: </w:t>
      </w:r>
      <w:r w:rsidRPr="00820925">
        <w:rPr>
          <w:b/>
          <w:bCs/>
          <w:i/>
          <w:iCs/>
        </w:rPr>
        <w:t>"risk for data breaches, misuse, and loss of trust increases"</w:t>
      </w:r>
      <w:r w:rsidRPr="00820925">
        <w:rPr>
          <w:b/>
          <w:bCs/>
        </w:rPr>
        <w:t>).</w:t>
      </w:r>
      <w:r w:rsidRPr="00820925">
        <w:t xml:space="preserve"> However, it has no concrete mechanism to prevent data from being used beyond its intended purpose</w:t>
      </w:r>
      <w:r w:rsidR="00A915E1">
        <w:t xml:space="preserve">, </w:t>
      </w:r>
      <w:r w:rsidRPr="00820925">
        <w:t>no logging requirements for reuse, no restrictions on secondary use, no sanctions for violations.</w:t>
      </w:r>
    </w:p>
    <w:p w:rsidRPr="00820925" w:rsidR="00820925" w:rsidP="00820925" w:rsidRDefault="00820925" w14:paraId="572C485E" w14:textId="77777777">
      <w:r w:rsidRPr="00820925">
        <w:rPr>
          <w:b/>
          <w:bCs/>
        </w:rPr>
        <w:t>What policies say this should be there:</w:t>
      </w:r>
    </w:p>
    <w:p w:rsidRPr="00820925" w:rsidR="00820925" w:rsidP="00820925" w:rsidRDefault="00820925" w14:paraId="58E11331" w14:textId="39A961FF">
      <w:pPr>
        <w:numPr>
          <w:ilvl w:val="0"/>
          <w:numId w:val="31"/>
        </w:numPr>
      </w:pPr>
      <w:r w:rsidRPr="00820925">
        <w:t xml:space="preserve">GDPR Article 5(1)(b) </w:t>
      </w:r>
      <w:r w:rsidRPr="00820925">
        <w:rPr>
          <w:i/>
          <w:iCs/>
        </w:rPr>
        <w:t>purpose limitation</w:t>
      </w:r>
      <w:r w:rsidRPr="00820925">
        <w:t xml:space="preserve"> principle</w:t>
      </w:r>
      <w:r w:rsidR="00A915E1">
        <w:t>,</w:t>
      </w:r>
      <w:r w:rsidRPr="00820925">
        <w:t xml:space="preserve"> explicitly prohibits processing data for purposes incompatible with those originally specified.</w:t>
      </w:r>
    </w:p>
    <w:p w:rsidRPr="00820925" w:rsidR="00820925" w:rsidP="00820925" w:rsidRDefault="00820925" w14:paraId="4DAA1EDC" w14:textId="77777777">
      <w:pPr>
        <w:numPr>
          <w:ilvl w:val="0"/>
          <w:numId w:val="31"/>
        </w:numPr>
      </w:pPr>
      <w:r w:rsidRPr="00820925">
        <w:t>Data Governance Act (DGA) Article 12 requires data intermediaries to ensure data is only used for agreed purposes and to maintain verifiable audit trails.</w:t>
      </w:r>
    </w:p>
    <w:p w:rsidRPr="00820925" w:rsidR="00820925" w:rsidP="00820925" w:rsidRDefault="00820925" w14:paraId="126EB285" w14:textId="77777777">
      <w:pPr>
        <w:numPr>
          <w:ilvl w:val="0"/>
          <w:numId w:val="31"/>
        </w:numPr>
      </w:pPr>
      <w:r w:rsidRPr="00820925">
        <w:t>The Data Act (Articles 4–6) sets conditions under which data can be shared with third parties, requiring explicit agreements on reuse scope.</w:t>
      </w:r>
    </w:p>
    <w:p w:rsidRPr="00820925" w:rsidR="00820925" w:rsidP="00820925" w:rsidRDefault="00A915E1" w14:paraId="3BC34E91" w14:textId="66409690">
      <w:r>
        <w:rPr>
          <w:b/>
          <w:bCs/>
        </w:rPr>
        <w:t>Source</w:t>
      </w:r>
      <w:r w:rsidRPr="00820925" w:rsidR="00820925">
        <w:rPr>
          <w:b/>
          <w:bCs/>
        </w:rPr>
        <w:t>:</w:t>
      </w:r>
      <w:r w:rsidRPr="00820925" w:rsidR="00820925">
        <w:t xml:space="preserve"> Ruschemeier, H. (2022). </w:t>
      </w:r>
      <w:r w:rsidRPr="00820925" w:rsidR="00820925">
        <w:rPr>
          <w:i/>
          <w:iCs/>
        </w:rPr>
        <w:t>Data brokers and the challenges of data governance.</w:t>
      </w:r>
    </w:p>
    <w:p w:rsidRPr="00D02DC6" w:rsidR="00D02DC6" w:rsidP="00D02DC6" w:rsidRDefault="00D02DC6" w14:paraId="331E41EA" w14:textId="77777777">
      <w:r w:rsidRPr="00D02DC6">
        <w:rPr>
          <w:b/>
          <w:bCs/>
        </w:rPr>
        <w:t>3. Power asymmetries between large tech actors and citizens/municipalities</w:t>
      </w:r>
    </w:p>
    <w:p w:rsidRPr="00D02DC6" w:rsidR="00D02DC6" w:rsidP="00D02DC6" w:rsidRDefault="00D02DC6" w14:paraId="2AD36DC6" w14:textId="4ACC1B20">
      <w:r w:rsidRPr="00D02DC6">
        <w:t>Referencing Zuboff, without strong controls, data-driven systems entrench power imbalances</w:t>
      </w:r>
      <w:r>
        <w:t>,</w:t>
      </w:r>
      <w:r w:rsidRPr="00D02DC6">
        <w:t xml:space="preserve"> particularly when large intermediaries or tech vendors control data flows that municipalities and citizens depend on.</w:t>
      </w:r>
    </w:p>
    <w:p w:rsidRPr="00D02DC6" w:rsidR="00D02DC6" w:rsidP="00D02DC6" w:rsidRDefault="00D02DC6" w14:paraId="0C270E83" w14:textId="77777777">
      <w:r w:rsidRPr="00D02DC6">
        <w:rPr>
          <w:b/>
          <w:bCs/>
        </w:rPr>
        <w:t>What the blueprint has:</w:t>
      </w:r>
      <w:r w:rsidRPr="00D02DC6">
        <w:t xml:space="preserve"> It briefly flags "asymmetrical power dynamics and profit-driven data practices of large [actors]"</w:t>
      </w:r>
      <w:r w:rsidRPr="00D02DC6">
        <w:rPr>
          <w:b/>
          <w:bCs/>
        </w:rPr>
        <w:t xml:space="preserve"> (p. 787) </w:t>
      </w:r>
      <w:r w:rsidRPr="00D02DC6">
        <w:t xml:space="preserve">and mentions vendor lock-in as a technical concern. But </w:t>
      </w:r>
      <w:proofErr w:type="gramStart"/>
      <w:r w:rsidRPr="00D02DC6">
        <w:t>it has</w:t>
      </w:r>
      <w:proofErr w:type="gramEnd"/>
      <w:r w:rsidRPr="00D02DC6">
        <w:t xml:space="preserve"> no structural safeguard </w:t>
      </w:r>
      <w:proofErr w:type="gramStart"/>
      <w:r w:rsidRPr="00D02DC6">
        <w:t>against this —</w:t>
      </w:r>
      <w:proofErr w:type="gramEnd"/>
      <w:r w:rsidRPr="00D02DC6">
        <w:t xml:space="preserve"> intermediaries are governed by neutrality principles </w:t>
      </w:r>
      <w:r w:rsidRPr="00D02DC6">
        <w:rPr>
          <w:b/>
          <w:bCs/>
        </w:rPr>
        <w:t xml:space="preserve">(Table 8) </w:t>
      </w:r>
      <w:r w:rsidRPr="00D02DC6">
        <w:t>but there is no enforcement mechanism, no mandatory independence requirements, and no citizen redress mechanism if an intermediary misuses its position.</w:t>
      </w:r>
    </w:p>
    <w:p w:rsidRPr="00D02DC6" w:rsidR="00D02DC6" w:rsidP="00D02DC6" w:rsidRDefault="00D02DC6" w14:paraId="5164794D" w14:textId="77777777">
      <w:r w:rsidRPr="00D02DC6">
        <w:rPr>
          <w:b/>
          <w:bCs/>
        </w:rPr>
        <w:t>What policies say this should be there:</w:t>
      </w:r>
    </w:p>
    <w:p w:rsidRPr="00D02DC6" w:rsidR="00D02DC6" w:rsidP="00D02DC6" w:rsidRDefault="00D02DC6" w14:paraId="168E6447" w14:textId="3CA8725A">
      <w:pPr>
        <w:numPr>
          <w:ilvl w:val="0"/>
          <w:numId w:val="32"/>
        </w:numPr>
      </w:pPr>
      <w:r w:rsidRPr="00D02DC6">
        <w:t xml:space="preserve">DGA Articles 10–15 impose strict neutrality requirements on data </w:t>
      </w:r>
      <w:proofErr w:type="gramStart"/>
      <w:r w:rsidRPr="00D02DC6">
        <w:t>intermediaries</w:t>
      </w:r>
      <w:r w:rsidR="00E861C2">
        <w:t>,</w:t>
      </w:r>
      <w:proofErr w:type="gramEnd"/>
      <w:r w:rsidRPr="00D02DC6">
        <w:t xml:space="preserve"> they must not use data for their own commercial benefit and must be structurally independent.</w:t>
      </w:r>
    </w:p>
    <w:p w:rsidRPr="00D02DC6" w:rsidR="00D02DC6" w:rsidP="00D02DC6" w:rsidRDefault="00D02DC6" w14:paraId="6FA9C172" w14:textId="77777777">
      <w:pPr>
        <w:numPr>
          <w:ilvl w:val="0"/>
          <w:numId w:val="32"/>
        </w:numPr>
      </w:pPr>
      <w:r w:rsidRPr="00D02DC6">
        <w:t>The Digital Markets Act (DMA) addresses power asymmetries caused by large platform gatekeepers, which applies when large tech vendors participate as intermediaries in data spaces.</w:t>
      </w:r>
    </w:p>
    <w:p w:rsidR="00211AD2" w:rsidP="00D02DC6" w:rsidRDefault="00D02DC6" w14:paraId="38427A70" w14:textId="77777777">
      <w:pPr>
        <w:numPr>
          <w:ilvl w:val="0"/>
          <w:numId w:val="32"/>
        </w:numPr>
      </w:pPr>
      <w:r w:rsidRPr="00D02DC6">
        <w:t>EU AI Act Article 9 requires risk management systems specifically for high-risk AI in public services</w:t>
      </w:r>
      <w:r w:rsidR="00E861C2">
        <w:t>,</w:t>
      </w:r>
      <w:r w:rsidRPr="00D02DC6">
        <w:t xml:space="preserve"> </w:t>
      </w:r>
      <w:proofErr w:type="gramStart"/>
      <w:r w:rsidRPr="00D02DC6">
        <w:t>relevant</w:t>
      </w:r>
      <w:proofErr w:type="gramEnd"/>
      <w:r w:rsidRPr="00D02DC6">
        <w:t xml:space="preserve"> </w:t>
      </w:r>
      <w:proofErr w:type="gramStart"/>
      <w:r w:rsidRPr="00D02DC6">
        <w:t>where</w:t>
      </w:r>
      <w:proofErr w:type="gramEnd"/>
      <w:r w:rsidRPr="00D02DC6">
        <w:t xml:space="preserve"> smart city data feeds into automated decision-making.</w:t>
      </w:r>
    </w:p>
    <w:p w:rsidRPr="00D02DC6" w:rsidR="00D02DC6" w:rsidP="00211AD2" w:rsidRDefault="00D02DC6" w14:paraId="686366D5" w14:textId="35AFE720">
      <w:pPr>
        <w:ind w:left="360"/>
      </w:pPr>
      <w:r w:rsidRPr="00D02DC6">
        <w:t xml:space="preserve">Zuboff, S. (2019). </w:t>
      </w:r>
      <w:r w:rsidRPr="00211AD2">
        <w:rPr>
          <w:i/>
          <w:iCs/>
        </w:rPr>
        <w:t>The Age of Surveillance Capitalism.</w:t>
      </w:r>
    </w:p>
    <w:p w:rsidR="00C25FCB" w:rsidRDefault="00C25FCB" w14:paraId="65428157" w14:textId="77777777">
      <w:pPr>
        <w:rPr>
          <w:b/>
          <w:bCs/>
        </w:rPr>
      </w:pPr>
      <w:r>
        <w:rPr>
          <w:b/>
          <w:bCs/>
        </w:rPr>
        <w:br w:type="page"/>
      </w:r>
    </w:p>
    <w:p w:rsidRPr="00C25FCB" w:rsidR="00C25FCB" w:rsidP="00C25FCB" w:rsidRDefault="00C25FCB" w14:paraId="1944160D" w14:textId="4A8ED9B3">
      <w:r w:rsidRPr="00C25FCB">
        <w:rPr>
          <w:b/>
          <w:bCs/>
        </w:rPr>
        <w:t>4. Concrete ethical enforcement mechanisms</w:t>
      </w:r>
    </w:p>
    <w:p w:rsidRPr="00C25FCB" w:rsidR="00C25FCB" w:rsidP="00C25FCB" w:rsidRDefault="00C25FCB" w14:paraId="640EBA60" w14:textId="1B65632F">
      <w:proofErr w:type="gramStart"/>
      <w:r w:rsidRPr="00C25FCB">
        <w:t>Referencing</w:t>
      </w:r>
      <w:proofErr w:type="gramEnd"/>
      <w:r w:rsidRPr="00C25FCB">
        <w:t xml:space="preserve"> the EU's Ethics Guidelines for Trustworthy AI (AI HLEG), transparency, accountability, and human oversight must be operationalized</w:t>
      </w:r>
      <w:r>
        <w:t>,</w:t>
      </w:r>
      <w:r w:rsidRPr="00C25FCB">
        <w:t xml:space="preserve"> not just referenced as principles.</w:t>
      </w:r>
    </w:p>
    <w:p w:rsidRPr="00C25FCB" w:rsidR="00C25FCB" w:rsidP="00C25FCB" w:rsidRDefault="00C25FCB" w14:paraId="2410E3EC" w14:textId="77777777">
      <w:r w:rsidRPr="00C25FCB">
        <w:rPr>
          <w:b/>
          <w:bCs/>
        </w:rPr>
        <w:t>What the blueprint has:</w:t>
      </w:r>
      <w:r w:rsidRPr="00C25FCB">
        <w:t xml:space="preserve"> It lists ethical principles (Principlism: respect for persons, justice, non-maleficence, etc.) and references ALTAI and FRAIA frameworks </w:t>
      </w:r>
      <w:r w:rsidRPr="00C25FCB">
        <w:rPr>
          <w:b/>
          <w:bCs/>
        </w:rPr>
        <w:t>(p. 1137).</w:t>
      </w:r>
      <w:r w:rsidRPr="00C25FCB">
        <w:t xml:space="preserve"> But it explicitly admits: </w:t>
      </w:r>
      <w:r w:rsidRPr="00C25FCB">
        <w:rPr>
          <w:i/>
          <w:iCs/>
        </w:rPr>
        <w:t xml:space="preserve">"the DS4SSCC-DEP could not delve deep into the ethics aspects with the pilots, practically. This </w:t>
      </w:r>
      <w:proofErr w:type="gramStart"/>
      <w:r w:rsidRPr="00C25FCB">
        <w:rPr>
          <w:i/>
          <w:iCs/>
        </w:rPr>
        <w:t>has to</w:t>
      </w:r>
      <w:proofErr w:type="gramEnd"/>
      <w:r w:rsidRPr="00C25FCB">
        <w:rPr>
          <w:i/>
          <w:iCs/>
        </w:rPr>
        <w:t xml:space="preserve"> be covered in the second half of the project runtime"</w:t>
      </w:r>
      <w:r w:rsidRPr="00C25FCB">
        <w:t xml:space="preserve"> </w:t>
      </w:r>
      <w:r w:rsidRPr="00C25FCB">
        <w:rPr>
          <w:b/>
          <w:bCs/>
        </w:rPr>
        <w:t>(p. 1143).</w:t>
      </w:r>
      <w:r w:rsidRPr="00C25FCB">
        <w:t xml:space="preserve"> </w:t>
      </w:r>
      <w:proofErr w:type="gramStart"/>
      <w:r w:rsidRPr="00C25FCB">
        <w:t>So</w:t>
      </w:r>
      <w:proofErr w:type="gramEnd"/>
      <w:r w:rsidRPr="00C25FCB">
        <w:t xml:space="preserve"> ethics is currently aspirational, not operational.</w:t>
      </w:r>
    </w:p>
    <w:p w:rsidRPr="00C25FCB" w:rsidR="00C25FCB" w:rsidP="00C25FCB" w:rsidRDefault="00C25FCB" w14:paraId="37048F8E" w14:textId="77777777">
      <w:r w:rsidRPr="00C25FCB">
        <w:rPr>
          <w:b/>
          <w:bCs/>
        </w:rPr>
        <w:t>What policies say this should be there:</w:t>
      </w:r>
    </w:p>
    <w:p w:rsidRPr="00C25FCB" w:rsidR="00C25FCB" w:rsidP="00C25FCB" w:rsidRDefault="00C25FCB" w14:paraId="4504049D" w14:textId="687BE9C4">
      <w:pPr>
        <w:numPr>
          <w:ilvl w:val="0"/>
          <w:numId w:val="33"/>
        </w:numPr>
      </w:pPr>
      <w:r w:rsidRPr="00C25FCB">
        <w:t xml:space="preserve">EU AI HLEG Ethics Guidelines (2019) require transparency and human oversight to be </w:t>
      </w:r>
      <w:r w:rsidRPr="00C25FCB">
        <w:rPr>
          <w:i/>
          <w:iCs/>
        </w:rPr>
        <w:t>verifiable</w:t>
      </w:r>
      <w:r w:rsidRPr="00C25FCB">
        <w:t>, not just declared</w:t>
      </w:r>
      <w:r w:rsidR="00E861C2">
        <w:t>,</w:t>
      </w:r>
      <w:r w:rsidRPr="00C25FCB">
        <w:t xml:space="preserve"> including logging, explainability, and human intervention points.</w:t>
      </w:r>
    </w:p>
    <w:p w:rsidRPr="00C25FCB" w:rsidR="00C25FCB" w:rsidP="00C25FCB" w:rsidRDefault="00C25FCB" w14:paraId="4631E68F" w14:textId="27DF8C08">
      <w:pPr>
        <w:numPr>
          <w:ilvl w:val="0"/>
          <w:numId w:val="33"/>
        </w:numPr>
      </w:pPr>
      <w:r w:rsidRPr="00C25FCB">
        <w:t>ALTAI (the assessment tool the blueprint itself references) contains concrete checklist items that should be completed per pilot</w:t>
      </w:r>
      <w:r w:rsidR="00E861C2">
        <w:t xml:space="preserve">, </w:t>
      </w:r>
      <w:r w:rsidRPr="00C25FCB">
        <w:t>the blueprint acknowledges this hasn't happened yet.</w:t>
      </w:r>
    </w:p>
    <w:p w:rsidRPr="00C25FCB" w:rsidR="00C25FCB" w:rsidP="00C25FCB" w:rsidRDefault="00C25FCB" w14:paraId="0366C888" w14:textId="1495891C">
      <w:pPr>
        <w:numPr>
          <w:ilvl w:val="0"/>
          <w:numId w:val="33"/>
        </w:numPr>
      </w:pPr>
      <w:r w:rsidRPr="00C25FCB">
        <w:t>GDPR Article 22 requires human oversight specifically when automated decision-making significantly affects individuals</w:t>
      </w:r>
      <w:r w:rsidR="00E861C2">
        <w:t>,</w:t>
      </w:r>
      <w:r w:rsidRPr="00C25FCB">
        <w:t xml:space="preserve"> directly relevant to smart city systems.</w:t>
      </w:r>
    </w:p>
    <w:p w:rsidRPr="00C25FCB" w:rsidR="00C25FCB" w:rsidP="00C25FCB" w:rsidRDefault="00C25FCB" w14:paraId="1927AEF3" w14:textId="18157876">
      <w:r w:rsidRPr="00C25FCB">
        <w:rPr>
          <w:b/>
          <w:bCs/>
        </w:rPr>
        <w:t>Sourc</w:t>
      </w:r>
      <w:r>
        <w:rPr>
          <w:b/>
          <w:bCs/>
        </w:rPr>
        <w:t>e</w:t>
      </w:r>
      <w:r w:rsidRPr="00C25FCB">
        <w:rPr>
          <w:b/>
          <w:bCs/>
        </w:rPr>
        <w:t>:</w:t>
      </w:r>
      <w:r w:rsidRPr="00C25FCB">
        <w:t xml:space="preserve"> European Commission / AI HLEG (2019). </w:t>
      </w:r>
      <w:r w:rsidRPr="00C25FCB">
        <w:rPr>
          <w:i/>
          <w:iCs/>
        </w:rPr>
        <w:t>Ethics Guidelines for Trustworthy AI.</w:t>
      </w:r>
    </w:p>
    <w:p w:rsidRPr="00E861C2" w:rsidR="00E861C2" w:rsidP="00E861C2" w:rsidRDefault="00E861C2" w14:paraId="6ECC8EB3" w14:textId="77777777">
      <w:r w:rsidRPr="00E861C2">
        <w:rPr>
          <w:b/>
          <w:bCs/>
        </w:rPr>
        <w:t>5. Data minimization and purpose limitation in practice</w:t>
      </w:r>
    </w:p>
    <w:p w:rsidRPr="00E861C2" w:rsidR="00E861C2" w:rsidP="00E861C2" w:rsidRDefault="00E861C2" w14:paraId="388B5D3E" w14:textId="14574C70">
      <w:r w:rsidRPr="00E861C2">
        <w:t>GDPR principles like data minimization and purpose limitation are essential safeguards</w:t>
      </w:r>
      <w:r>
        <w:t>,</w:t>
      </w:r>
      <w:r w:rsidRPr="00E861C2">
        <w:t xml:space="preserve"> especially in smart cities where even seemingly neutral datasets (mobility, energy) can indirectly reveal personal behavior.</w:t>
      </w:r>
    </w:p>
    <w:p w:rsidRPr="00E861C2" w:rsidR="00E861C2" w:rsidP="00E861C2" w:rsidRDefault="00E861C2" w14:paraId="5584E2DF" w14:textId="4F92A0D1">
      <w:r w:rsidRPr="00E861C2">
        <w:rPr>
          <w:b/>
          <w:bCs/>
        </w:rPr>
        <w:t>What the blueprint has:</w:t>
      </w:r>
      <w:r w:rsidRPr="00E861C2">
        <w:t xml:space="preserve"> It lists GDPR Article 5 principles </w:t>
      </w:r>
      <w:r w:rsidRPr="00E861C2">
        <w:rPr>
          <w:b/>
          <w:bCs/>
        </w:rPr>
        <w:t>(p. 3174–3176)</w:t>
      </w:r>
      <w:r w:rsidRPr="00E861C2">
        <w:t xml:space="preserve"> including data minimization and purpose limitation</w:t>
      </w:r>
      <w:r>
        <w:t xml:space="preserve">, </w:t>
      </w:r>
      <w:r w:rsidRPr="00E861C2">
        <w:t xml:space="preserve">but only as legal obligations controllers must be aware of. There is no operational guidance on how data space participants should implement these principles technically or procedurally. The data model building block </w:t>
      </w:r>
      <w:r w:rsidRPr="00E861C2">
        <w:rPr>
          <w:b/>
          <w:bCs/>
        </w:rPr>
        <w:t xml:space="preserve">(p. 73) </w:t>
      </w:r>
      <w:r w:rsidRPr="00E861C2">
        <w:t>focuses on interoperability standards, not on minimizing what data is collected.</w:t>
      </w:r>
    </w:p>
    <w:p w:rsidRPr="00E861C2" w:rsidR="00E861C2" w:rsidP="00E861C2" w:rsidRDefault="00E861C2" w14:paraId="66006C90" w14:textId="77777777">
      <w:r w:rsidRPr="00E861C2">
        <w:rPr>
          <w:b/>
          <w:bCs/>
        </w:rPr>
        <w:t>What policies say this should be there:</w:t>
      </w:r>
    </w:p>
    <w:p w:rsidRPr="00E861C2" w:rsidR="00E861C2" w:rsidP="00E861C2" w:rsidRDefault="00E861C2" w14:paraId="3951AB34" w14:textId="3876281B">
      <w:pPr>
        <w:numPr>
          <w:ilvl w:val="0"/>
          <w:numId w:val="34"/>
        </w:numPr>
      </w:pPr>
      <w:proofErr w:type="gramStart"/>
      <w:r w:rsidRPr="00E861C2">
        <w:t xml:space="preserve">GDPR Article 5(1)(c) </w:t>
      </w:r>
      <w:r w:rsidRPr="00E861C2">
        <w:rPr>
          <w:i/>
          <w:iCs/>
        </w:rPr>
        <w:t xml:space="preserve">data </w:t>
      </w:r>
      <w:r>
        <w:rPr>
          <w:i/>
          <w:iCs/>
        </w:rPr>
        <w:t>minimization</w:t>
      </w:r>
      <w:r>
        <w:t>,</w:t>
      </w:r>
      <w:proofErr w:type="gramEnd"/>
      <w:r w:rsidRPr="00E861C2">
        <w:t xml:space="preserve"> requires that only data that is adequate, relevant, and limited to what is necessary is processed.</w:t>
      </w:r>
    </w:p>
    <w:p w:rsidRPr="00E861C2" w:rsidR="00E861C2" w:rsidP="00E861C2" w:rsidRDefault="00E861C2" w14:paraId="0D21AA08" w14:textId="59236A6F">
      <w:pPr>
        <w:numPr>
          <w:ilvl w:val="0"/>
          <w:numId w:val="34"/>
        </w:numPr>
      </w:pPr>
      <w:r w:rsidRPr="00E861C2">
        <w:t>GDPR Article 25 (</w:t>
      </w:r>
      <w:r w:rsidRPr="00E861C2">
        <w:rPr>
          <w:i/>
          <w:iCs/>
        </w:rPr>
        <w:t>Privacy by Design</w:t>
      </w:r>
      <w:r w:rsidRPr="00E861C2">
        <w:t>) requires minimization to be built into the technical architecture itself</w:t>
      </w:r>
      <w:r>
        <w:t>,</w:t>
      </w:r>
      <w:r w:rsidRPr="00E861C2">
        <w:t xml:space="preserve"> meaning the blueprint's technical building blocks should reflect this.</w:t>
      </w:r>
    </w:p>
    <w:p w:rsidRPr="00E861C2" w:rsidR="00E861C2" w:rsidP="00E861C2" w:rsidRDefault="00E861C2" w14:paraId="5F84BAF6" w14:textId="77777777">
      <w:pPr>
        <w:numPr>
          <w:ilvl w:val="0"/>
          <w:numId w:val="34"/>
        </w:numPr>
      </w:pPr>
      <w:r w:rsidRPr="00E861C2">
        <w:t xml:space="preserve">The European Data Strategy (2020) explicitly states that data spaces must embed privacy protection as a design principle, not just </w:t>
      </w:r>
      <w:proofErr w:type="gramStart"/>
      <w:r w:rsidRPr="00E861C2">
        <w:t>a compliance</w:t>
      </w:r>
      <w:proofErr w:type="gramEnd"/>
      <w:r w:rsidRPr="00E861C2">
        <w:t xml:space="preserve"> afterthought.</w:t>
      </w:r>
    </w:p>
    <w:p w:rsidRPr="00E861C2" w:rsidR="00E861C2" w:rsidP="00E861C2" w:rsidRDefault="00E861C2" w14:paraId="02056934" w14:textId="5FE61DF8">
      <w:r w:rsidRPr="00E861C2">
        <w:rPr>
          <w:b/>
          <w:bCs/>
        </w:rPr>
        <w:t>Source:</w:t>
      </w:r>
      <w:r w:rsidRPr="00E861C2">
        <w:t xml:space="preserve"> European Parliament &amp; Council of the EU (2016). </w:t>
      </w:r>
      <w:r w:rsidRPr="00E861C2">
        <w:rPr>
          <w:i/>
          <w:iCs/>
        </w:rPr>
        <w:t>General Data Protection Regulation (EU) 2016/679</w:t>
      </w:r>
      <w:r w:rsidRPr="00E861C2">
        <w:t xml:space="preserve">, Articles 5 &amp; 25; European Commission (2020). </w:t>
      </w:r>
      <w:r w:rsidRPr="00E861C2">
        <w:rPr>
          <w:i/>
          <w:iCs/>
        </w:rPr>
        <w:t>A European Strategy for Data.</w:t>
      </w:r>
    </w:p>
    <w:p w:rsidRPr="00AB347B" w:rsidR="00820925" w:rsidP="00AB347B" w:rsidRDefault="00820925" w14:paraId="76E94F45" w14:textId="77777777"/>
    <w:p w:rsidR="00E6588D" w:rsidP="007628B0" w:rsidRDefault="00E6588D" w14:paraId="0837CC70" w14:textId="77777777"/>
    <w:p w:rsidRPr="00417C12" w:rsidR="007628B0" w:rsidP="00417C12" w:rsidRDefault="00ED5BA8" w14:paraId="12BB1086" w14:textId="16A6BC52">
      <w:pPr>
        <w:pStyle w:val="Heading2"/>
        <w:rPr>
          <w:rFonts w:cs="Calibri"/>
          <w:lang w:val="en-US"/>
        </w:rPr>
      </w:pPr>
      <w:bookmarkStart w:name="_Toc231982071" w:id="40"/>
      <w:r w:rsidRPr="00417C12">
        <w:rPr>
          <w:rFonts w:cs="Calibri"/>
          <w:lang w:val="en-US"/>
        </w:rPr>
        <w:t xml:space="preserve">6.4 </w:t>
      </w:r>
      <w:r w:rsidRPr="00417C12" w:rsidR="007628B0">
        <w:rPr>
          <w:rFonts w:cs="Calibri"/>
          <w:lang w:val="en-US"/>
        </w:rPr>
        <w:t>Conclusion</w:t>
      </w:r>
      <w:bookmarkEnd w:id="40"/>
    </w:p>
    <w:p w:rsidRPr="00211AD2" w:rsidR="00ED5BA8" w:rsidP="791C729B" w:rsidRDefault="74ADA703" w14:paraId="299B3DFF" w14:textId="4C89E93A">
      <w:pPr>
        <w:rPr>
          <w:rFonts w:cs="Arial"/>
        </w:rPr>
      </w:pPr>
      <w:r w:rsidRPr="00211AD2">
        <w:rPr>
          <w:rFonts w:cs="Arial"/>
        </w:rPr>
        <w:t>This research examined how governance procedures and protocols can support stakeholders and intermediaries in exchanging data responsibly, while preserving societal value and protecting privacy within the Inzicht Verlicht dataspace context.</w:t>
      </w:r>
    </w:p>
    <w:p w:rsidRPr="00211AD2" w:rsidR="00ED5BA8" w:rsidP="791C729B" w:rsidRDefault="74ADA703" w14:paraId="7C060350" w14:textId="6FB225BA">
      <w:pPr>
        <w:rPr>
          <w:rFonts w:cs="Arial"/>
        </w:rPr>
      </w:pPr>
      <w:r w:rsidRPr="00211AD2">
        <w:rPr>
          <w:rFonts w:cs="Arial"/>
        </w:rPr>
        <w:t>The literature review established that responsible data usage in smart city environments cannot rely on technical solutions alone. It requires the integration of federated architectures, legal compliance with frameworks such as GDPR and the Data Governance Act, ethical oversight, and structured governance frameworks that define roles, responsibilities, and accountability mechanisms across all participating actors.</w:t>
      </w:r>
    </w:p>
    <w:p w:rsidRPr="00211AD2" w:rsidR="00ED5BA8" w:rsidP="791C729B" w:rsidRDefault="74ADA703" w14:paraId="1D84CDDB" w14:textId="59D96B88">
      <w:pPr>
        <w:rPr>
          <w:rFonts w:cs="Arial"/>
        </w:rPr>
      </w:pPr>
      <w:r w:rsidRPr="00211AD2">
        <w:rPr>
          <w:rFonts w:cs="Arial"/>
        </w:rPr>
        <w:t>The document analysis revealed that while foundational governance elements are present, such as defined roles in the Blueprint Evolution, a structured privacy approach in the previous group's security plan, and operational recommendations in the business advice report, these documents collectively fall short of defining the actual procedures needed to hold stakeholders and intermediaries accountable in practice. Access approval workflows, intermediary oversight mechanisms, audit trails beyond onboarding, and societal value conditions in data-sharing agreements remain either absent or insufficiently developed.</w:t>
      </w:r>
    </w:p>
    <w:p w:rsidRPr="00211AD2" w:rsidR="00ED5BA8" w:rsidP="791C729B" w:rsidRDefault="74ADA703" w14:paraId="31A097ED" w14:textId="044456BF">
      <w:pPr>
        <w:rPr>
          <w:rFonts w:cs="Arial"/>
        </w:rPr>
      </w:pPr>
      <w:r w:rsidRPr="00211AD2">
        <w:rPr>
          <w:rFonts w:cs="Arial"/>
        </w:rPr>
        <w:t>The gap analysis further confirmed five critical areas where the current blueprint does not meet what existing policy and best practice require: the structural embedding of Privacy-Enhancing Technologies, concrete safeguards against data reuse beyond its intended purpose, protections against power asymmetries between large technology actors and municipalities or citizens, operationalized ethical enforcement mechanisms, and practical implementation of data minimization and purpose limitation principles.</w:t>
      </w:r>
    </w:p>
    <w:p w:rsidRPr="00211AD2" w:rsidR="00ED5BA8" w:rsidP="791C729B" w:rsidRDefault="74ADA703" w14:paraId="20245131" w14:textId="396942A9">
      <w:pPr>
        <w:rPr>
          <w:rFonts w:cs="Arial"/>
        </w:rPr>
      </w:pPr>
      <w:r w:rsidRPr="00211AD2">
        <w:rPr>
          <w:rFonts w:cs="Arial"/>
        </w:rPr>
        <w:t xml:space="preserve">Taken together, these findings indicate that the current governance framework for the Inzicht Verlicht dataspace is structurally incomplete. While the right principles are referenced throughout the documentation, they have not been translated into enforceable, operational procedures. Addressing these gaps through defined protocols, mandatory technical safeguards, and accountable oversight mechanisms </w:t>
      </w:r>
      <w:r w:rsidRPr="00211AD2">
        <w:rPr>
          <w:rFonts w:cs="Arial"/>
        </w:rPr>
        <w:t>is essential for the dataspace to function in a way that is both legally compliant and genuinely trustworthy for all participating parties</w:t>
      </w:r>
    </w:p>
    <w:p w:rsidRPr="00417C12" w:rsidR="00DF32D8" w:rsidP="00ED5BA8" w:rsidRDefault="00ED5BA8" w14:paraId="16ECE45F" w14:textId="2C4D04E7">
      <w:pPr>
        <w:pStyle w:val="Heading1"/>
        <w:ind w:left="709" w:hanging="709"/>
        <w:rPr>
          <w:rFonts w:cs="Calibri"/>
          <w:szCs w:val="36"/>
          <w:lang w:val="en-US"/>
        </w:rPr>
      </w:pPr>
      <w:bookmarkStart w:name="_Toc231982072" w:id="41"/>
      <w:r w:rsidRPr="00417C12">
        <w:rPr>
          <w:rFonts w:cs="Calibri"/>
          <w:szCs w:val="36"/>
          <w:lang w:val="en-US"/>
        </w:rPr>
        <w:t xml:space="preserve">7. </w:t>
      </w:r>
      <w:r w:rsidRPr="00417C12" w:rsidR="00DF32D8">
        <w:rPr>
          <w:rFonts w:cs="Calibri"/>
          <w:szCs w:val="36"/>
          <w:lang w:val="en-US"/>
        </w:rPr>
        <w:t>Question 5</w:t>
      </w:r>
      <w:bookmarkEnd w:id="41"/>
    </w:p>
    <w:p w:rsidRPr="00FB16FD" w:rsidR="00DF32D8" w:rsidP="00DF32D8" w:rsidRDefault="00DF32D8" w14:paraId="1901CAE2" w14:textId="3D6B07E7">
      <w:pPr>
        <w:rPr>
          <w:rFonts w:cs="Arial"/>
          <w:b/>
          <w:i/>
        </w:rPr>
      </w:pPr>
      <w:r w:rsidRPr="00FB16FD">
        <w:rPr>
          <w:rFonts w:cs="Arial"/>
          <w:b/>
          <w:i/>
        </w:rPr>
        <w:t>What recommendations can be provided to policymakers to support long-term and sustainable governance of the dataspace</w:t>
      </w:r>
      <w:r w:rsidRPr="00FB16FD">
        <w:rPr>
          <w:rFonts w:cs="Arial"/>
          <w:b/>
          <w:i/>
          <w:lang w:val="en-GB"/>
        </w:rPr>
        <w:t>?</w:t>
      </w:r>
      <w:r w:rsidRPr="00FB16FD">
        <w:rPr>
          <w:rFonts w:cs="Arial"/>
          <w:b/>
          <w:i/>
        </w:rPr>
        <w:t> </w:t>
      </w:r>
    </w:p>
    <w:tbl>
      <w:tblPr>
        <w:tblStyle w:val="TableGrid"/>
        <w:tblW w:w="11058" w:type="dxa"/>
        <w:tblInd w:w="-998" w:type="dxa"/>
        <w:tblLook w:val="04A0" w:firstRow="1" w:lastRow="0" w:firstColumn="1" w:lastColumn="0" w:noHBand="0" w:noVBand="1"/>
      </w:tblPr>
      <w:tblGrid>
        <w:gridCol w:w="2431"/>
        <w:gridCol w:w="4245"/>
        <w:gridCol w:w="2258"/>
        <w:gridCol w:w="2124"/>
      </w:tblGrid>
      <w:tr w:rsidRPr="00110AFC" w:rsidR="0064576E" w:rsidTr="004C7816" w14:paraId="35E8A783" w14:textId="77777777">
        <w:tc>
          <w:tcPr>
            <w:tcW w:w="2248" w:type="dxa"/>
          </w:tcPr>
          <w:p w:rsidRPr="00FB16FD" w:rsidR="00DF32D8" w:rsidP="007E2A4E" w:rsidRDefault="00DF32D8" w14:paraId="74D106AE" w14:textId="77777777">
            <w:pPr>
              <w:rPr>
                <w:rFonts w:cs="Arial"/>
                <w:b/>
              </w:rPr>
            </w:pPr>
            <w:r w:rsidRPr="00FB16FD">
              <w:rPr>
                <w:rFonts w:cs="Arial"/>
                <w:b/>
              </w:rPr>
              <w:t>Research Strategies</w:t>
            </w:r>
          </w:p>
        </w:tc>
        <w:tc>
          <w:tcPr>
            <w:tcW w:w="5124" w:type="dxa"/>
          </w:tcPr>
          <w:p w:rsidRPr="00FB16FD" w:rsidR="00DF32D8" w:rsidP="007E2A4E" w:rsidRDefault="00DF32D8" w14:paraId="11FA4576" w14:textId="77777777">
            <w:pPr>
              <w:rPr>
                <w:rFonts w:cs="Arial"/>
                <w:b/>
              </w:rPr>
            </w:pPr>
            <w:r w:rsidRPr="00FB16FD">
              <w:rPr>
                <w:rFonts w:cs="Arial"/>
                <w:b/>
              </w:rPr>
              <w:t>How are the Strategies Applied</w:t>
            </w:r>
          </w:p>
        </w:tc>
        <w:tc>
          <w:tcPr>
            <w:tcW w:w="2024" w:type="dxa"/>
          </w:tcPr>
          <w:p w:rsidRPr="00FB16FD" w:rsidR="00DF32D8" w:rsidP="007E2A4E" w:rsidRDefault="00DF32D8" w14:paraId="49478A45" w14:textId="77777777">
            <w:pPr>
              <w:rPr>
                <w:rFonts w:cs="Arial"/>
                <w:b/>
              </w:rPr>
            </w:pPr>
            <w:r w:rsidRPr="00FB16FD">
              <w:rPr>
                <w:rFonts w:cs="Arial"/>
                <w:b/>
              </w:rPr>
              <w:t>Validation</w:t>
            </w:r>
          </w:p>
        </w:tc>
        <w:tc>
          <w:tcPr>
            <w:tcW w:w="1662" w:type="dxa"/>
          </w:tcPr>
          <w:p w:rsidRPr="00FB16FD" w:rsidR="00DF32D8" w:rsidP="007E2A4E" w:rsidRDefault="00DF32D8" w14:paraId="58906111" w14:textId="77777777">
            <w:pPr>
              <w:rPr>
                <w:rFonts w:cs="Arial"/>
                <w:b/>
              </w:rPr>
            </w:pPr>
            <w:proofErr w:type="gramStart"/>
            <w:r w:rsidRPr="00FB16FD">
              <w:rPr>
                <w:rFonts w:cs="Arial"/>
                <w:b/>
              </w:rPr>
              <w:t>Stepping Stones</w:t>
            </w:r>
            <w:proofErr w:type="gramEnd"/>
          </w:p>
        </w:tc>
      </w:tr>
      <w:tr w:rsidRPr="00110AFC" w:rsidR="0064576E" w:rsidTr="004C7816" w14:paraId="6A9A12C0" w14:textId="77777777">
        <w:trPr>
          <w:trHeight w:val="5755"/>
        </w:trPr>
        <w:tc>
          <w:tcPr>
            <w:tcW w:w="2248" w:type="dxa"/>
          </w:tcPr>
          <w:p w:rsidRPr="00FB16FD" w:rsidR="004C7816" w:rsidP="004C7816" w:rsidRDefault="004C7816" w14:paraId="13F5B0DA" w14:textId="19BB682C">
            <w:pPr>
              <w:rPr>
                <w:rFonts w:cs="Arial"/>
              </w:rPr>
            </w:pPr>
            <w:r w:rsidRPr="00FB16FD">
              <w:rPr>
                <w:rFonts w:cs="Arial"/>
                <w:lang w:val="en-GB"/>
              </w:rPr>
              <w:t>Library – Community Research</w:t>
            </w:r>
            <w:r w:rsidRPr="00FB16FD">
              <w:rPr>
                <w:rFonts w:cs="Arial"/>
              </w:rPr>
              <w:t> </w:t>
            </w:r>
          </w:p>
          <w:p w:rsidRPr="00FB16FD" w:rsidR="007E2A4E" w:rsidP="004C7816" w:rsidRDefault="007E2A4E" w14:paraId="7A233A03" w14:textId="77777777">
            <w:pPr>
              <w:rPr>
                <w:rFonts w:cs="Arial"/>
              </w:rPr>
            </w:pPr>
          </w:p>
          <w:p w:rsidRPr="00FB16FD" w:rsidR="007E2A4E" w:rsidP="004C7816" w:rsidRDefault="007E2A4E" w14:paraId="456620EA" w14:textId="5180285B">
            <w:pPr>
              <w:rPr>
                <w:rFonts w:cs="Arial"/>
              </w:rPr>
            </w:pPr>
            <w:r w:rsidRPr="00FB16FD">
              <w:rPr>
                <w:rFonts w:cs="Arial"/>
                <w:noProof/>
              </w:rPr>
              <w:drawing>
                <wp:inline distT="0" distB="0" distL="0" distR="0" wp14:anchorId="3C990BA4" wp14:editId="56607196">
                  <wp:extent cx="476885" cy="461010"/>
                  <wp:effectExtent l="0" t="0" r="0" b="0"/>
                  <wp:docPr id="1894277412" name="Picture 1" descr="libr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brary"/>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6885" cy="461010"/>
                          </a:xfrm>
                          <a:prstGeom prst="rect">
                            <a:avLst/>
                          </a:prstGeom>
                          <a:noFill/>
                          <a:ln>
                            <a:noFill/>
                          </a:ln>
                        </pic:spPr>
                      </pic:pic>
                    </a:graphicData>
                  </a:graphic>
                </wp:inline>
              </w:drawing>
            </w:r>
          </w:p>
          <w:p w:rsidRPr="00FB16FD" w:rsidR="007E2A4E" w:rsidP="004C7816" w:rsidRDefault="007E2A4E" w14:paraId="4AC06219" w14:textId="77777777">
            <w:pPr>
              <w:rPr>
                <w:rFonts w:cs="Arial"/>
              </w:rPr>
            </w:pPr>
          </w:p>
          <w:p w:rsidRPr="00FB16FD" w:rsidR="007E2A4E" w:rsidP="004C7816" w:rsidRDefault="004C7816" w14:paraId="6124E7C8" w14:textId="77777777">
            <w:pPr>
              <w:rPr>
                <w:rFonts w:cs="Arial"/>
              </w:rPr>
            </w:pPr>
            <w:r w:rsidRPr="00FB16FD">
              <w:rPr>
                <w:rFonts w:cs="Arial"/>
                <w:lang w:val="en-GB"/>
              </w:rPr>
              <w:t>Showroom – Peer review, Guideline conformity analysis</w:t>
            </w:r>
            <w:r w:rsidRPr="00FB16FD">
              <w:rPr>
                <w:rFonts w:cs="Arial"/>
              </w:rPr>
              <w:t> </w:t>
            </w:r>
            <w:r w:rsidRPr="00FB16FD">
              <w:rPr>
                <w:rFonts w:cs="Arial"/>
              </w:rPr>
              <w:br/>
            </w:r>
            <w:r w:rsidRPr="00FB16FD">
              <w:rPr>
                <w:rFonts w:cs="Arial"/>
              </w:rPr>
              <w:t> </w:t>
            </w:r>
          </w:p>
          <w:p w:rsidRPr="00FB16FD" w:rsidR="007E2A4E" w:rsidP="004C7816" w:rsidRDefault="007E2A4E" w14:paraId="374C810A" w14:textId="0CFF26E4">
            <w:pPr>
              <w:rPr>
                <w:rFonts w:cs="Arial"/>
              </w:rPr>
            </w:pPr>
            <w:r w:rsidRPr="00FB16FD">
              <w:rPr>
                <w:rFonts w:cs="Arial"/>
                <w:noProof/>
              </w:rPr>
              <w:drawing>
                <wp:inline distT="0" distB="0" distL="0" distR="0" wp14:anchorId="3383AC88" wp14:editId="5D7E9D9E">
                  <wp:extent cx="476885" cy="476885"/>
                  <wp:effectExtent l="0" t="0" r="0" b="0"/>
                  <wp:docPr id="1976710477" name="Picture 2" descr="show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howroom"/>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6885" cy="476885"/>
                          </a:xfrm>
                          <a:prstGeom prst="rect">
                            <a:avLst/>
                          </a:prstGeom>
                          <a:noFill/>
                          <a:ln>
                            <a:noFill/>
                          </a:ln>
                        </pic:spPr>
                      </pic:pic>
                    </a:graphicData>
                  </a:graphic>
                </wp:inline>
              </w:drawing>
            </w:r>
          </w:p>
          <w:p w:rsidRPr="00FB16FD" w:rsidR="004C7816" w:rsidP="004C7816" w:rsidRDefault="004C7816" w14:paraId="26F167A7" w14:textId="5FDCDE64">
            <w:pPr>
              <w:rPr>
                <w:rFonts w:cs="Arial"/>
              </w:rPr>
            </w:pPr>
            <w:r w:rsidRPr="00FB16FD">
              <w:rPr>
                <w:rFonts w:cs="Arial"/>
              </w:rPr>
              <w:br/>
            </w:r>
            <w:r w:rsidRPr="00FB16FD">
              <w:rPr>
                <w:rFonts w:cs="Arial"/>
                <w:lang w:val="en-GB"/>
              </w:rPr>
              <w:t>Workshop – Business case exploration</w:t>
            </w:r>
            <w:r w:rsidRPr="00FB16FD">
              <w:rPr>
                <w:rFonts w:cs="Arial"/>
              </w:rPr>
              <w:t> </w:t>
            </w:r>
          </w:p>
          <w:p w:rsidRPr="00FB16FD" w:rsidR="00DF32D8" w:rsidP="007E2A4E" w:rsidRDefault="00DF32D8" w14:paraId="1D1F9ADC" w14:textId="77777777">
            <w:pPr>
              <w:rPr>
                <w:rFonts w:cs="Arial"/>
              </w:rPr>
            </w:pPr>
          </w:p>
          <w:p w:rsidRPr="00FB16FD" w:rsidR="007E2A4E" w:rsidP="007E2A4E" w:rsidRDefault="007E2A4E" w14:paraId="2DF21CC7" w14:textId="6B770309">
            <w:pPr>
              <w:rPr>
                <w:rFonts w:cs="Arial"/>
              </w:rPr>
            </w:pPr>
            <w:r w:rsidRPr="00FB16FD">
              <w:rPr>
                <w:rFonts w:cs="Arial"/>
                <w:noProof/>
              </w:rPr>
              <w:drawing>
                <wp:inline distT="0" distB="0" distL="0" distR="0" wp14:anchorId="4FBC53D9" wp14:editId="06E9951C">
                  <wp:extent cx="476885" cy="476885"/>
                  <wp:effectExtent l="0" t="0" r="0" b="0"/>
                  <wp:docPr id="1111053215" name="Picture 3" descr="worksh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orkshop"/>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76885" cy="476885"/>
                          </a:xfrm>
                          <a:prstGeom prst="rect">
                            <a:avLst/>
                          </a:prstGeom>
                          <a:noFill/>
                          <a:ln>
                            <a:noFill/>
                          </a:ln>
                        </pic:spPr>
                      </pic:pic>
                    </a:graphicData>
                  </a:graphic>
                </wp:inline>
              </w:drawing>
            </w:r>
          </w:p>
        </w:tc>
        <w:tc>
          <w:tcPr>
            <w:tcW w:w="5124" w:type="dxa"/>
          </w:tcPr>
          <w:p w:rsidRPr="00FB16FD" w:rsidR="00DF32D8" w:rsidP="007E2A4E" w:rsidRDefault="004C7816" w14:paraId="3C46BA03" w14:textId="0F2863B9">
            <w:pPr>
              <w:rPr>
                <w:rFonts w:cs="Arial"/>
              </w:rPr>
            </w:pPr>
            <w:r w:rsidRPr="00FB16FD">
              <w:rPr>
                <w:rFonts w:cs="Arial"/>
                <w:lang w:val="en-GB"/>
              </w:rPr>
              <w:t>Community research will collect insights from different smart city initiatives, policy documents, and possibly governance studies. Peer review and guideline conformity analysis will evaluate the feasibility, sustainability and alignment of recommendations with best practices and stakeholder requirements. Through business case exploration, we plan to maximise the outcome of your work by analysing the most viable options or scenarios for the problem.</w:t>
            </w:r>
            <w:r w:rsidRPr="00FB16FD">
              <w:rPr>
                <w:rFonts w:cs="Arial"/>
              </w:rPr>
              <w:t> </w:t>
            </w:r>
          </w:p>
        </w:tc>
        <w:tc>
          <w:tcPr>
            <w:tcW w:w="2024" w:type="dxa"/>
          </w:tcPr>
          <w:p w:rsidRPr="00FB16FD" w:rsidR="00DF32D8" w:rsidP="007E2A4E" w:rsidRDefault="004C7816" w14:paraId="005AD604" w14:textId="25C8B276">
            <w:pPr>
              <w:rPr>
                <w:rFonts w:cs="Arial"/>
              </w:rPr>
            </w:pPr>
            <w:r w:rsidRPr="00FB16FD">
              <w:rPr>
                <w:rFonts w:cs="Arial"/>
                <w:lang w:val="en-GB"/>
              </w:rPr>
              <w:t>Stakeholder review and alignment checks with existing standards and governance models</w:t>
            </w:r>
            <w:r w:rsidRPr="00FB16FD">
              <w:rPr>
                <w:rFonts w:cs="Arial"/>
              </w:rPr>
              <w:t> </w:t>
            </w:r>
          </w:p>
        </w:tc>
        <w:tc>
          <w:tcPr>
            <w:tcW w:w="1662" w:type="dxa"/>
          </w:tcPr>
          <w:p w:rsidRPr="00FB16FD" w:rsidR="00DF32D8" w:rsidP="007E2A4E" w:rsidRDefault="004C7816" w14:paraId="37D11186" w14:textId="7E8BE937">
            <w:pPr>
              <w:rPr>
                <w:rFonts w:cs="Arial"/>
              </w:rPr>
            </w:pPr>
            <w:r w:rsidRPr="00FB16FD">
              <w:rPr>
                <w:rFonts w:cs="Arial"/>
                <w:lang w:val="en-GB"/>
              </w:rPr>
              <w:t>Actionable, evidence-based</w:t>
            </w:r>
            <w:r w:rsidRPr="00FB16FD" w:rsidR="00AE6AE4">
              <w:rPr>
                <w:rFonts w:cs="Arial"/>
                <w:lang w:val="en-GB"/>
              </w:rPr>
              <w:t xml:space="preserve"> policy recommendations for sustainable governance of the dataspace</w:t>
            </w:r>
            <w:r w:rsidRPr="00FB16FD" w:rsidR="00DF32D8">
              <w:rPr>
                <w:rFonts w:cs="Arial"/>
              </w:rPr>
              <w:t> </w:t>
            </w:r>
          </w:p>
        </w:tc>
      </w:tr>
    </w:tbl>
    <w:p w:rsidR="00DF32D8" w:rsidRDefault="00DF32D8" w14:paraId="1815C9D6" w14:textId="77777777">
      <w:pPr>
        <w:rPr>
          <w:rFonts w:ascii="Calibri" w:hAnsi="Calibri" w:cs="Calibri"/>
        </w:rPr>
      </w:pPr>
    </w:p>
    <w:p w:rsidR="007628B0" w:rsidP="00ED5BA8" w:rsidRDefault="00411A6C" w14:paraId="02FEE92C" w14:textId="2B400B64">
      <w:pPr>
        <w:pStyle w:val="Heading2"/>
        <w:numPr>
          <w:ilvl w:val="1"/>
          <w:numId w:val="14"/>
        </w:numPr>
        <w:rPr>
          <w:rFonts w:cs="Calibri"/>
          <w:bCs/>
        </w:rPr>
      </w:pPr>
      <w:bookmarkStart w:name="_Toc231982073" w:id="42"/>
      <w:r>
        <w:rPr>
          <w:rFonts w:cs="Calibri"/>
          <w:bCs/>
        </w:rPr>
        <w:t>Library</w:t>
      </w:r>
      <w:bookmarkEnd w:id="42"/>
    </w:p>
    <w:p w:rsidR="007628B0" w:rsidP="007628B0" w:rsidRDefault="00CE1829" w14:paraId="0843F46F" w14:textId="0ACD0E6E">
      <w:r>
        <w:t>Community research across smart city initiatives, Europ</w:t>
      </w:r>
      <w:r w:rsidR="003E743B">
        <w:t>ean policy documents, and governance studies reveals four recurring conditions for long-term dataspace</w:t>
      </w:r>
      <w:r w:rsidR="00097881">
        <w:t xml:space="preserve"> sustainability.</w:t>
      </w:r>
    </w:p>
    <w:p w:rsidR="00097881" w:rsidP="007628B0" w:rsidRDefault="00097881" w14:paraId="1AAB83FE" w14:textId="5EF67776">
      <w:r w:rsidRPr="00097881">
        <w:rPr>
          <w:b/>
          <w:bCs/>
        </w:rPr>
        <w:t>Formalize governance roles and make them durable.</w:t>
      </w:r>
      <w:r>
        <w:rPr>
          <w:b/>
          <w:bCs/>
        </w:rPr>
        <w:t xml:space="preserve"> </w:t>
      </w:r>
      <w:r w:rsidR="00D56C0B">
        <w:t xml:space="preserve">Janssen </w:t>
      </w:r>
      <w:proofErr w:type="gramStart"/>
      <w:r w:rsidR="00D56C0B">
        <w:t>demonstrate</w:t>
      </w:r>
      <w:proofErr w:type="gramEnd"/>
      <w:r w:rsidR="00D56C0B">
        <w:t xml:space="preserve"> that </w:t>
      </w:r>
      <w:r w:rsidR="00E90FEC">
        <w:t>data-sharing initiatives</w:t>
      </w:r>
      <w:r w:rsidR="001546D5">
        <w:t xml:space="preserve"> most commonly fail not due to technical problems but  because roles and responsibilities are left informal. </w:t>
      </w:r>
      <w:r w:rsidR="00285AB8">
        <w:t xml:space="preserve">For Inzicht Verlicht, </w:t>
      </w:r>
      <w:r w:rsidR="004C6AAE">
        <w:t>the DS4SSCC Blueprint’s governance tole taxonomy</w:t>
      </w:r>
      <w:r w:rsidR="00CA5356">
        <w:t>; data holder, data provider, data user, governance authority</w:t>
      </w:r>
      <w:r w:rsidR="006A03A2">
        <w:t xml:space="preserve"> and intermediary </w:t>
      </w:r>
      <w:r w:rsidR="00401D80">
        <w:t>should</w:t>
      </w:r>
      <w:r w:rsidR="006A03A2">
        <w:t xml:space="preserve"> be translated into formal named assignments</w:t>
      </w:r>
      <w:r w:rsidR="00401D80">
        <w:t>. Reviewed on a fixed cycle to ensure continuity as personnel and partnerships change.</w:t>
      </w:r>
    </w:p>
    <w:p w:rsidR="00401D80" w:rsidP="007628B0" w:rsidRDefault="00401D80" w14:paraId="0035B9DB" w14:textId="2F6C873C">
      <w:sdt>
        <w:sdtPr>
          <w:id w:val="-1935505006"/>
          <w:citation/>
        </w:sdtPr>
        <w:sdtContent>
          <w:r>
            <w:fldChar w:fldCharType="begin"/>
          </w:r>
          <w:r>
            <w:instrText xml:space="preserve"> CITATION Dat20 \l 1033 </w:instrText>
          </w:r>
          <w:r>
            <w:fldChar w:fldCharType="separate"/>
          </w:r>
          <w:r>
            <w:rPr>
              <w:noProof/>
            </w:rPr>
            <w:t>(Data Governance for Trustworthy AI, 2020)</w:t>
          </w:r>
          <w:r>
            <w:fldChar w:fldCharType="end"/>
          </w:r>
        </w:sdtContent>
      </w:sdt>
    </w:p>
    <w:p w:rsidR="00401D80" w:rsidP="007628B0" w:rsidRDefault="00401D80" w14:paraId="453B54C0" w14:textId="137B6568">
      <w:r w:rsidRPr="00401D80">
        <w:rPr>
          <w:b/>
          <w:bCs/>
        </w:rPr>
        <w:t>Treat legal compliance as an ongoing process</w:t>
      </w:r>
      <w:r>
        <w:t xml:space="preserve">. </w:t>
      </w:r>
      <w:r w:rsidR="0084088D">
        <w:t xml:space="preserve">Re-identification risks evolve as datasets are combined, and purpose </w:t>
      </w:r>
      <w:r w:rsidR="004A41ED">
        <w:t>limitation must be re</w:t>
      </w:r>
      <w:r w:rsidR="003C17B9">
        <w:t xml:space="preserve">assessed as new use </w:t>
      </w:r>
      <w:r w:rsidR="003C17B9">
        <w:t>cases emerge. Amsterdam Smart City</w:t>
      </w:r>
      <w:r w:rsidR="00E423F1">
        <w:t xml:space="preserve">’s approach demonstrates the value of a standing review cycle that </w:t>
      </w:r>
      <w:r w:rsidR="00BA36FB">
        <w:t>reassesses</w:t>
      </w:r>
      <w:r w:rsidR="00E423F1">
        <w:t xml:space="preserve"> GDPR compliance, conducts </w:t>
      </w:r>
      <w:r w:rsidR="00AD10CF">
        <w:t>re-identification tests, and runs data protection impact assessments at regular intervals</w:t>
      </w:r>
      <w:r w:rsidR="00BA36FB">
        <w:t xml:space="preserve">. Whenever new participants join, rather than treating </w:t>
      </w:r>
      <w:r w:rsidR="00C92268">
        <w:t>initial compliance as permanent.</w:t>
      </w:r>
    </w:p>
    <w:p w:rsidR="00C92268" w:rsidP="007628B0" w:rsidRDefault="00C92268" w14:paraId="69E56DC8" w14:textId="114C879C">
      <w:sdt>
        <w:sdtPr>
          <w:id w:val="-377158757"/>
          <w:citation/>
        </w:sdtPr>
        <w:sdtContent>
          <w:r>
            <w:fldChar w:fldCharType="begin"/>
          </w:r>
          <w:r>
            <w:instrText xml:space="preserve"> CITATION Pol \l 1033 </w:instrText>
          </w:r>
          <w:r>
            <w:fldChar w:fldCharType="separate"/>
          </w:r>
          <w:r>
            <w:rPr>
              <w:noProof/>
            </w:rPr>
            <w:t>(Policy guidelines and Ethical principles for digital Technology, n.d.)</w:t>
          </w:r>
          <w:r>
            <w:fldChar w:fldCharType="end"/>
          </w:r>
        </w:sdtContent>
      </w:sdt>
    </w:p>
    <w:p w:rsidR="00C92268" w:rsidP="007628B0" w:rsidRDefault="00C92268" w14:paraId="23873CB5" w14:textId="5B0A55C7">
      <w:r>
        <w:rPr>
          <w:b/>
          <w:bCs/>
        </w:rPr>
        <w:t>Resolve the dual-role conflict through independent oversight.</w:t>
      </w:r>
      <w:r>
        <w:t xml:space="preserve"> </w:t>
      </w:r>
      <w:r w:rsidR="007A3869">
        <w:t xml:space="preserve">The Data Governance Act requires neutrality and </w:t>
      </w:r>
      <w:r w:rsidR="00C5369D">
        <w:t xml:space="preserve">absence of conflicts of interest for data intermediaries. Community research </w:t>
      </w:r>
      <w:r w:rsidR="009B48BE">
        <w:t>from comparable initia</w:t>
      </w:r>
      <w:r w:rsidR="001B477E">
        <w:t>tives consistently points to either an indepen</w:t>
      </w:r>
      <w:r w:rsidR="00425C65">
        <w:t xml:space="preserve">dent data trustee or a governance committee with representation from outside the municipality. </w:t>
      </w:r>
      <w:r w:rsidR="00CA76E3">
        <w:t>Including research constitutions and civil society as the most effective structural remedy.</w:t>
      </w:r>
    </w:p>
    <w:p w:rsidR="00CA76E3" w:rsidP="007628B0" w:rsidRDefault="003C4F4A" w14:paraId="582E698C" w14:textId="18C1CC30">
      <w:sdt>
        <w:sdtPr>
          <w:id w:val="-1786414139"/>
          <w:citation/>
        </w:sdtPr>
        <w:sdtContent>
          <w:r>
            <w:fldChar w:fldCharType="begin"/>
          </w:r>
          <w:r>
            <w:instrText xml:space="preserve"> CITATION Reg \l 1033 </w:instrText>
          </w:r>
          <w:r>
            <w:fldChar w:fldCharType="separate"/>
          </w:r>
          <w:r>
            <w:rPr>
              <w:noProof/>
            </w:rPr>
            <w:t>(Regulation EU 2022/868, n.d.)</w:t>
          </w:r>
          <w:r>
            <w:fldChar w:fldCharType="end"/>
          </w:r>
        </w:sdtContent>
      </w:sdt>
    </w:p>
    <w:p w:rsidR="003C4F4A" w:rsidP="007628B0" w:rsidRDefault="0098195A" w14:paraId="210ED441" w14:textId="43D85DDB">
      <w:r>
        <w:rPr>
          <w:b/>
          <w:bCs/>
        </w:rPr>
        <w:t>Build citizen-facing transparency.</w:t>
      </w:r>
      <w:r>
        <w:t xml:space="preserve"> The DS4SSCC Blueprint and the WEF Smart City governance framework both ident</w:t>
      </w:r>
      <w:r w:rsidR="006226DF">
        <w:t xml:space="preserve">ify public trust as a </w:t>
      </w:r>
      <w:r w:rsidR="00CE1502">
        <w:t>mandatory for long-term legitimacy. Practical meas</w:t>
      </w:r>
      <w:r w:rsidR="001B68B2">
        <w:t>ures identified across multiple initiatives include a public data register describing what is collected, by whom, for what purpose, and for how long</w:t>
      </w:r>
      <w:r w:rsidR="00062776">
        <w:t>. Alongside a defined process through which citizens can raise concerns.</w:t>
      </w:r>
    </w:p>
    <w:p w:rsidRPr="0098195A" w:rsidR="005A1378" w:rsidP="007628B0" w:rsidRDefault="005A1378" w14:paraId="5F990048" w14:textId="0BCB470C">
      <w:sdt>
        <w:sdtPr>
          <w:id w:val="2009404352"/>
          <w:citation/>
        </w:sdtPr>
        <w:sdtContent>
          <w:r>
            <w:fldChar w:fldCharType="begin"/>
          </w:r>
          <w:r>
            <w:instrText xml:space="preserve"> CITATION WEF \l 1033 </w:instrText>
          </w:r>
          <w:r>
            <w:fldChar w:fldCharType="separate"/>
          </w:r>
          <w:r>
            <w:rPr>
              <w:noProof/>
            </w:rPr>
            <w:t>(WEF Governing Smart Cities, n.d.)</w:t>
          </w:r>
          <w:r>
            <w:fldChar w:fldCharType="end"/>
          </w:r>
        </w:sdtContent>
      </w:sdt>
    </w:p>
    <w:p w:rsidR="007628B0" w:rsidP="00ED5BA8" w:rsidRDefault="00411A6C" w14:paraId="320509B0" w14:textId="188E62E2">
      <w:pPr>
        <w:pStyle w:val="Heading2"/>
        <w:numPr>
          <w:ilvl w:val="1"/>
          <w:numId w:val="14"/>
        </w:numPr>
        <w:rPr>
          <w:rFonts w:cs="Calibri"/>
          <w:bCs/>
        </w:rPr>
      </w:pPr>
      <w:bookmarkStart w:name="_Toc231982074" w:id="43"/>
      <w:r>
        <w:rPr>
          <w:rFonts w:cs="Calibri"/>
          <w:bCs/>
        </w:rPr>
        <w:t>Showroom</w:t>
      </w:r>
      <w:bookmarkEnd w:id="43"/>
    </w:p>
    <w:p w:rsidR="007628B0" w:rsidP="007628B0" w:rsidRDefault="00685E38" w14:paraId="06517ABA" w14:textId="61F58166">
      <w:r>
        <w:t xml:space="preserve">Recommendations were reviewed with project stakeholders </w:t>
      </w:r>
      <w:r w:rsidRPr="007A3F44" w:rsidR="007A3F44">
        <w:t>Amália Oliveira De Arruda Camara</w:t>
      </w:r>
      <w:r w:rsidR="007A3F44">
        <w:t xml:space="preserve"> and Bart van Gennip for feasibility and alignment with stakeholder needs. The review co</w:t>
      </w:r>
      <w:r w:rsidR="002C2BEA">
        <w:t>nfirmed that the four themes directly address the structural gasps identified in Questions 3 and 4</w:t>
      </w:r>
      <w:r w:rsidR="00EC7110">
        <w:t>: undefined roles, the municipality’s unresolved dual role, missing re-identification procedures, and absent citizen transparency. Indepen</w:t>
      </w:r>
      <w:r w:rsidR="00700F64">
        <w:t>dent</w:t>
      </w:r>
      <w:r w:rsidR="001D1E14">
        <w:t xml:space="preserve"> oversight was identified as the highest priority recommendation. As it is </w:t>
      </w:r>
      <w:r w:rsidR="001E00E7">
        <w:t>structural</w:t>
      </w:r>
      <w:r w:rsidR="002D01EB">
        <w:t xml:space="preserve"> </w:t>
      </w:r>
      <w:r w:rsidR="001E00E7">
        <w:t xml:space="preserve">for several others. A standing oversight committee was assessed as </w:t>
      </w:r>
      <w:r w:rsidR="00FC28CF">
        <w:t>the</w:t>
      </w:r>
      <w:r w:rsidR="001E00E7">
        <w:t xml:space="preserve"> most feasible </w:t>
      </w:r>
      <w:r w:rsidR="00FC28CF">
        <w:t xml:space="preserve"> form given the project’s scale and context.</w:t>
      </w:r>
    </w:p>
    <w:p w:rsidR="00CB04C1" w:rsidP="007628B0" w:rsidRDefault="00CB04C1" w14:paraId="612E0069" w14:textId="59F0A92D">
      <w:pPr>
        <w:rPr>
          <w:b/>
          <w:bCs/>
        </w:rPr>
      </w:pPr>
      <w:r w:rsidRPr="00CB04C1">
        <w:rPr>
          <w:b/>
          <w:bCs/>
        </w:rPr>
        <w:t>Guideline Conformity Analysis</w:t>
      </w:r>
    </w:p>
    <w:tbl>
      <w:tblPr>
        <w:tblStyle w:val="GridTable1Light"/>
        <w:tblW w:w="0" w:type="auto"/>
        <w:tblLook w:val="04A0" w:firstRow="1" w:lastRow="0" w:firstColumn="1" w:lastColumn="0" w:noHBand="0" w:noVBand="1"/>
      </w:tblPr>
      <w:tblGrid>
        <w:gridCol w:w="1696"/>
        <w:gridCol w:w="3828"/>
        <w:gridCol w:w="3492"/>
      </w:tblGrid>
      <w:tr w:rsidR="00CB1626" w:rsidTr="003556AD" w14:paraId="58900011"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Pr="00DE7A28" w:rsidR="00CB1626" w:rsidP="007628B0" w:rsidRDefault="003556AD" w14:paraId="1212BCCD" w14:textId="01A13088">
            <w:r w:rsidRPr="00DE7A28">
              <w:t>Guideline</w:t>
            </w:r>
          </w:p>
        </w:tc>
        <w:tc>
          <w:tcPr>
            <w:tcW w:w="3828" w:type="dxa"/>
          </w:tcPr>
          <w:p w:rsidRPr="00DE7A28" w:rsidR="00CB1626" w:rsidP="007628B0" w:rsidRDefault="003556AD" w14:paraId="73E1B925" w14:textId="05071711">
            <w:pPr>
              <w:cnfStyle w:val="100000000000" w:firstRow="1" w:lastRow="0" w:firstColumn="0" w:lastColumn="0" w:oddVBand="0" w:evenVBand="0" w:oddHBand="0" w:evenHBand="0" w:firstRowFirstColumn="0" w:firstRowLastColumn="0" w:lastRowFirstColumn="0" w:lastRowLastColumn="0"/>
            </w:pPr>
            <w:r w:rsidRPr="00DE7A28">
              <w:t>Relevant Requirements</w:t>
            </w:r>
          </w:p>
        </w:tc>
        <w:tc>
          <w:tcPr>
            <w:tcW w:w="3492" w:type="dxa"/>
          </w:tcPr>
          <w:p w:rsidRPr="00DE7A28" w:rsidR="00CB1626" w:rsidP="007628B0" w:rsidRDefault="003556AD" w14:paraId="3588B4E2" w14:textId="22C1A788">
            <w:pPr>
              <w:cnfStyle w:val="100000000000" w:firstRow="1" w:lastRow="0" w:firstColumn="0" w:lastColumn="0" w:oddVBand="0" w:evenVBand="0" w:oddHBand="0" w:evenHBand="0" w:firstRowFirstColumn="0" w:firstRowLastColumn="0" w:lastRowFirstColumn="0" w:lastRowLastColumn="0"/>
            </w:pPr>
            <w:r w:rsidRPr="00DE7A28">
              <w:t>Conformity of Recommendations</w:t>
            </w:r>
          </w:p>
        </w:tc>
      </w:tr>
      <w:tr w:rsidR="00CB1626" w:rsidTr="003556AD" w14:paraId="5620202F" w14:textId="77777777">
        <w:tc>
          <w:tcPr>
            <w:cnfStyle w:val="001000000000" w:firstRow="0" w:lastRow="0" w:firstColumn="1" w:lastColumn="0" w:oddVBand="0" w:evenVBand="0" w:oddHBand="0" w:evenHBand="0" w:firstRowFirstColumn="0" w:firstRowLastColumn="0" w:lastRowFirstColumn="0" w:lastRowLastColumn="0"/>
            <w:tcW w:w="1696" w:type="dxa"/>
          </w:tcPr>
          <w:p w:rsidR="00CB1626" w:rsidP="007628B0" w:rsidRDefault="003556AD" w14:paraId="275F6E55" w14:textId="2131989F">
            <w:pPr>
              <w:rPr>
                <w:b w:val="0"/>
                <w:bCs w:val="0"/>
              </w:rPr>
            </w:pPr>
            <w:r>
              <w:rPr>
                <w:b w:val="0"/>
                <w:bCs w:val="0"/>
              </w:rPr>
              <w:t>GDPR</w:t>
            </w:r>
          </w:p>
        </w:tc>
        <w:tc>
          <w:tcPr>
            <w:tcW w:w="3828" w:type="dxa"/>
          </w:tcPr>
          <w:p w:rsidRPr="00DE7A28" w:rsidR="00CB1626" w:rsidP="007628B0" w:rsidRDefault="003556AD" w14:paraId="13188AC6" w14:textId="1C5EA92D">
            <w:pPr>
              <w:cnfStyle w:val="000000000000" w:firstRow="0" w:lastRow="0" w:firstColumn="0" w:lastColumn="0" w:oddVBand="0" w:evenVBand="0" w:oddHBand="0" w:evenHBand="0" w:firstRowFirstColumn="0" w:firstRowLastColumn="0" w:lastRowFirstColumn="0" w:lastRowLastColumn="0"/>
            </w:pPr>
            <w:r w:rsidRPr="00DE7A28">
              <w:t xml:space="preserve">Ongoing </w:t>
            </w:r>
            <w:r w:rsidRPr="00DE7A28" w:rsidR="000D20D0">
              <w:t>accountability, purpose limitations, citizen transparency (Art. 5, 13, 25)</w:t>
            </w:r>
          </w:p>
        </w:tc>
        <w:tc>
          <w:tcPr>
            <w:tcW w:w="3492" w:type="dxa"/>
          </w:tcPr>
          <w:p w:rsidRPr="00DE7A28" w:rsidR="00CB1626" w:rsidP="007628B0" w:rsidRDefault="000D20D0" w14:paraId="2F9083E1" w14:textId="5FA5C96C">
            <w:pPr>
              <w:cnfStyle w:val="000000000000" w:firstRow="0" w:lastRow="0" w:firstColumn="0" w:lastColumn="0" w:oddVBand="0" w:evenVBand="0" w:oddHBand="0" w:evenHBand="0" w:firstRowFirstColumn="0" w:firstRowLastColumn="0" w:lastRowFirstColumn="0" w:lastRowLastColumn="0"/>
            </w:pPr>
            <w:r w:rsidRPr="00DE7A28">
              <w:t>Addressed. Peri</w:t>
            </w:r>
            <w:r w:rsidRPr="00DE7A28" w:rsidR="00DE7A28">
              <w:t xml:space="preserve">odic DPIA reviews, re-identification testing, and </w:t>
            </w:r>
            <w:r w:rsidRPr="00DE7A28" w:rsidR="00217083">
              <w:t>public</w:t>
            </w:r>
            <w:r w:rsidRPr="00DE7A28" w:rsidR="00DE7A28">
              <w:t xml:space="preserve"> data register </w:t>
            </w:r>
            <w:r w:rsidRPr="00DE7A28" w:rsidR="00E70389">
              <w:t>operationalizes</w:t>
            </w:r>
            <w:r w:rsidRPr="00DE7A28" w:rsidR="00DE7A28">
              <w:t xml:space="preserve"> these obligations directly.</w:t>
            </w:r>
          </w:p>
        </w:tc>
      </w:tr>
      <w:tr w:rsidR="00CB1626" w:rsidTr="003556AD" w14:paraId="370AC233" w14:textId="77777777">
        <w:tc>
          <w:tcPr>
            <w:cnfStyle w:val="001000000000" w:firstRow="0" w:lastRow="0" w:firstColumn="1" w:lastColumn="0" w:oddVBand="0" w:evenVBand="0" w:oddHBand="0" w:evenHBand="0" w:firstRowFirstColumn="0" w:firstRowLastColumn="0" w:lastRowFirstColumn="0" w:lastRowLastColumn="0"/>
            <w:tcW w:w="1696" w:type="dxa"/>
          </w:tcPr>
          <w:p w:rsidR="00CB1626" w:rsidP="007628B0" w:rsidRDefault="00DE7A28" w14:paraId="297F95EC" w14:textId="6502A083">
            <w:pPr>
              <w:rPr>
                <w:b w:val="0"/>
                <w:bCs w:val="0"/>
              </w:rPr>
            </w:pPr>
            <w:r>
              <w:rPr>
                <w:b w:val="0"/>
                <w:bCs w:val="0"/>
              </w:rPr>
              <w:t>Data Governance Act</w:t>
            </w:r>
          </w:p>
        </w:tc>
        <w:tc>
          <w:tcPr>
            <w:tcW w:w="3828" w:type="dxa"/>
          </w:tcPr>
          <w:p w:rsidRPr="00DE7A28" w:rsidR="00CB1626" w:rsidP="007628B0" w:rsidRDefault="00DE7A28" w14:paraId="1EA75953" w14:textId="280ACD36">
            <w:pPr>
              <w:cnfStyle w:val="000000000000" w:firstRow="0" w:lastRow="0" w:firstColumn="0" w:lastColumn="0" w:oddVBand="0" w:evenVBand="0" w:oddHBand="0" w:evenHBand="0" w:firstRowFirstColumn="0" w:firstRowLastColumn="0" w:lastRowFirstColumn="0" w:lastRowLastColumn="0"/>
            </w:pPr>
            <w:r w:rsidRPr="00DE7A28">
              <w:t>Neut</w:t>
            </w:r>
            <w:r>
              <w:t xml:space="preserve">rality and absence of conflicts </w:t>
            </w:r>
            <w:r w:rsidR="00217083">
              <w:t>of interest for intermediaries (Art. 10-15)</w:t>
            </w:r>
          </w:p>
        </w:tc>
        <w:tc>
          <w:tcPr>
            <w:tcW w:w="3492" w:type="dxa"/>
          </w:tcPr>
          <w:p w:rsidRPr="00DE7A28" w:rsidR="00CB1626" w:rsidP="007628B0" w:rsidRDefault="00217083" w14:paraId="151A8FC9" w14:textId="06449768">
            <w:pPr>
              <w:cnfStyle w:val="000000000000" w:firstRow="0" w:lastRow="0" w:firstColumn="0" w:lastColumn="0" w:oddVBand="0" w:evenVBand="0" w:oddHBand="0" w:evenHBand="0" w:firstRowFirstColumn="0" w:firstRowLastColumn="0" w:lastRowFirstColumn="0" w:lastRowLastColumn="0"/>
            </w:pPr>
            <w:r>
              <w:t xml:space="preserve">Addressed. The </w:t>
            </w:r>
            <w:r w:rsidR="00D05678">
              <w:t>independent</w:t>
            </w:r>
            <w:r w:rsidR="00E70389">
              <w:t xml:space="preserve"> oversight </w:t>
            </w:r>
            <w:r w:rsidR="00D05678">
              <w:t xml:space="preserve">recommendation structurally separates </w:t>
            </w:r>
            <w:r w:rsidR="00597B11">
              <w:t xml:space="preserve">the governance </w:t>
            </w:r>
            <w:r w:rsidR="001C4A40">
              <w:t>authority function from data user function.</w:t>
            </w:r>
          </w:p>
        </w:tc>
      </w:tr>
      <w:tr w:rsidR="00CB1626" w:rsidTr="003556AD" w14:paraId="1950A026" w14:textId="77777777">
        <w:tc>
          <w:tcPr>
            <w:cnfStyle w:val="001000000000" w:firstRow="0" w:lastRow="0" w:firstColumn="1" w:lastColumn="0" w:oddVBand="0" w:evenVBand="0" w:oddHBand="0" w:evenHBand="0" w:firstRowFirstColumn="0" w:firstRowLastColumn="0" w:lastRowFirstColumn="0" w:lastRowLastColumn="0"/>
            <w:tcW w:w="1696" w:type="dxa"/>
          </w:tcPr>
          <w:p w:rsidR="00CB1626" w:rsidP="007628B0" w:rsidRDefault="001C4A40" w14:paraId="32C8F080" w14:textId="46121158">
            <w:pPr>
              <w:rPr>
                <w:b w:val="0"/>
                <w:bCs w:val="0"/>
              </w:rPr>
            </w:pPr>
            <w:r>
              <w:rPr>
                <w:b w:val="0"/>
                <w:bCs w:val="0"/>
              </w:rPr>
              <w:t>DS4SSCC Blueprint</w:t>
            </w:r>
          </w:p>
        </w:tc>
        <w:tc>
          <w:tcPr>
            <w:tcW w:w="3828" w:type="dxa"/>
          </w:tcPr>
          <w:p w:rsidRPr="00DE7A28" w:rsidR="00CB1626" w:rsidP="007628B0" w:rsidRDefault="001C4A40" w14:paraId="61BF2D66" w14:textId="74610F20">
            <w:pPr>
              <w:cnfStyle w:val="000000000000" w:firstRow="0" w:lastRow="0" w:firstColumn="0" w:lastColumn="0" w:oddVBand="0" w:evenVBand="0" w:oddHBand="0" w:evenHBand="0" w:firstRowFirstColumn="0" w:firstRowLastColumn="0" w:lastRowFirstColumn="0" w:lastRowLastColumn="0"/>
            </w:pPr>
            <w:r>
              <w:t xml:space="preserve">Formal role assignment, ethics review, </w:t>
            </w:r>
            <w:r w:rsidR="00FE6D77">
              <w:t>re-identification testing as standard procedures</w:t>
            </w:r>
          </w:p>
        </w:tc>
        <w:tc>
          <w:tcPr>
            <w:tcW w:w="3492" w:type="dxa"/>
          </w:tcPr>
          <w:p w:rsidRPr="00DE7A28" w:rsidR="00CB1626" w:rsidP="007628B0" w:rsidRDefault="00FE6D77" w14:paraId="7E3D8628" w14:textId="53A547BA">
            <w:pPr>
              <w:cnfStyle w:val="000000000000" w:firstRow="0" w:lastRow="0" w:firstColumn="0" w:lastColumn="0" w:oddVBand="0" w:evenVBand="0" w:oddHBand="0" w:evenHBand="0" w:firstRowFirstColumn="0" w:firstRowLastColumn="0" w:lastRowFirstColumn="0" w:lastRowLastColumn="0"/>
            </w:pPr>
            <w:r>
              <w:t xml:space="preserve">Addresses. </w:t>
            </w:r>
            <w:r w:rsidR="00AE5FC4">
              <w:t xml:space="preserve">Formalizing </w:t>
            </w:r>
            <w:r w:rsidR="0006410E">
              <w:t>governance roles and embedding periodic reviews align with the Blueprint’s requirements that have so far remained aspirational</w:t>
            </w:r>
          </w:p>
        </w:tc>
      </w:tr>
      <w:tr w:rsidR="00CB1626" w:rsidTr="003556AD" w14:paraId="7FEFF277" w14:textId="77777777">
        <w:tc>
          <w:tcPr>
            <w:cnfStyle w:val="001000000000" w:firstRow="0" w:lastRow="0" w:firstColumn="1" w:lastColumn="0" w:oddVBand="0" w:evenVBand="0" w:oddHBand="0" w:evenHBand="0" w:firstRowFirstColumn="0" w:firstRowLastColumn="0" w:lastRowFirstColumn="0" w:lastRowLastColumn="0"/>
            <w:tcW w:w="1696" w:type="dxa"/>
          </w:tcPr>
          <w:p w:rsidR="00CB1626" w:rsidP="007628B0" w:rsidRDefault="00072755" w14:paraId="451C8FC5" w14:textId="5597D3C8">
            <w:pPr>
              <w:rPr>
                <w:b w:val="0"/>
                <w:bCs w:val="0"/>
              </w:rPr>
            </w:pPr>
            <w:r>
              <w:rPr>
                <w:b w:val="0"/>
                <w:bCs w:val="0"/>
              </w:rPr>
              <w:t>FRAIA</w:t>
            </w:r>
          </w:p>
        </w:tc>
        <w:tc>
          <w:tcPr>
            <w:tcW w:w="3828" w:type="dxa"/>
          </w:tcPr>
          <w:p w:rsidRPr="00DE7A28" w:rsidR="00CB1626" w:rsidP="007628B0" w:rsidRDefault="00072755" w14:paraId="73C45AB8" w14:textId="160176BB">
            <w:pPr>
              <w:cnfStyle w:val="000000000000" w:firstRow="0" w:lastRow="0" w:firstColumn="0" w:lastColumn="0" w:oddVBand="0" w:evenVBand="0" w:oddHBand="0" w:evenHBand="0" w:firstRowFirstColumn="0" w:firstRowLastColumn="0" w:lastRowFirstColumn="0" w:lastRowLastColumn="0"/>
            </w:pPr>
            <w:r>
              <w:t>Fundamental rights impact assessment for public data-driven systems</w:t>
            </w:r>
          </w:p>
        </w:tc>
        <w:tc>
          <w:tcPr>
            <w:tcW w:w="3492" w:type="dxa"/>
          </w:tcPr>
          <w:p w:rsidRPr="00DE7A28" w:rsidR="00CB1626" w:rsidP="007628B0" w:rsidRDefault="00072755" w14:paraId="4ED94319" w14:textId="6C570235">
            <w:pPr>
              <w:cnfStyle w:val="000000000000" w:firstRow="0" w:lastRow="0" w:firstColumn="0" w:lastColumn="0" w:oddVBand="0" w:evenVBand="0" w:oddHBand="0" w:evenHBand="0" w:firstRowFirstColumn="0" w:firstRowLastColumn="0" w:lastRowFirstColumn="0" w:lastRowLastColumn="0"/>
            </w:pPr>
            <w:r>
              <w:t>Partially addressed. FRAIA is included as a required instrument within the periodic re</w:t>
            </w:r>
            <w:r w:rsidR="00A763C7">
              <w:t>view cycle</w:t>
            </w:r>
            <w:r w:rsidR="000836EC">
              <w:t>, but full imp</w:t>
            </w:r>
            <w:r w:rsidR="00365674">
              <w:t xml:space="preserve">lementation requires </w:t>
            </w:r>
            <w:r w:rsidR="00946867">
              <w:t>the munic</w:t>
            </w:r>
            <w:r w:rsidR="00CD4EEB">
              <w:t>ipality to commit resources at the operational level.</w:t>
            </w:r>
          </w:p>
        </w:tc>
      </w:tr>
    </w:tbl>
    <w:p w:rsidRPr="00724661" w:rsidR="00CB04C1" w:rsidP="007628B0" w:rsidRDefault="00CB04C1" w14:paraId="3C116563" w14:textId="77777777"/>
    <w:p w:rsidR="00411A6C" w:rsidP="00ED5BA8" w:rsidRDefault="00411A6C" w14:paraId="33F7B3CB" w14:textId="77777777">
      <w:pPr>
        <w:pStyle w:val="Heading2"/>
        <w:numPr>
          <w:ilvl w:val="1"/>
          <w:numId w:val="14"/>
        </w:numPr>
        <w:rPr>
          <w:rFonts w:cs="Calibri"/>
          <w:bCs/>
        </w:rPr>
      </w:pPr>
      <w:bookmarkStart w:name="_Toc231982075" w:id="44"/>
      <w:r>
        <w:rPr>
          <w:rFonts w:cs="Calibri"/>
          <w:bCs/>
        </w:rPr>
        <w:t>Workshop</w:t>
      </w:r>
      <w:bookmarkEnd w:id="44"/>
    </w:p>
    <w:p w:rsidR="00E017D3" w:rsidP="007628B0" w:rsidRDefault="008F2569" w14:paraId="049F388E" w14:textId="35A1E76A">
      <w:r>
        <w:t xml:space="preserve">Two business </w:t>
      </w:r>
      <w:r w:rsidR="00A57231">
        <w:t xml:space="preserve">cases were developed and explored to assess how governance </w:t>
      </w:r>
      <w:r w:rsidR="0000518B">
        <w:t xml:space="preserve">recommendations translate into practice and which approaches are the most viable for the long-term </w:t>
      </w:r>
      <w:r w:rsidR="00E017D3">
        <w:t>sustainability of the dataspace.</w:t>
      </w:r>
    </w:p>
    <w:p w:rsidRPr="00E017D3" w:rsidR="00E017D3" w:rsidP="007628B0" w:rsidRDefault="00E017D3" w14:paraId="30E5E381" w14:textId="0AA85ABE">
      <w:pPr>
        <w:rPr>
          <w:b/>
          <w:bCs/>
        </w:rPr>
      </w:pPr>
      <w:r w:rsidRPr="00E017D3">
        <w:rPr>
          <w:b/>
          <w:bCs/>
        </w:rPr>
        <w:t>Case 1 – Managing the Municipality’s Dual Role</w:t>
      </w:r>
    </w:p>
    <w:p w:rsidR="00E017D3" w:rsidP="007628B0" w:rsidRDefault="00E017D3" w14:paraId="66237050" w14:textId="091C0F2B">
      <w:r>
        <w:t>The Municipality of Eindhoven acts sim</w:t>
      </w:r>
      <w:r w:rsidR="00A5409A">
        <w:t xml:space="preserve">ultaneously as the primary data provider and the primary data user of the </w:t>
      </w:r>
      <w:r w:rsidR="00B94380">
        <w:t>Inzicht Verlicht dataspace. Without structural safeguards, this arrangement means the same institution that controls access to data also benefits most from using it. A direct conflict of interest that the Data Governance Act</w:t>
      </w:r>
      <w:r w:rsidR="00FF1171">
        <w:t xml:space="preserve"> explicitly prohibits through its neutrality re</w:t>
      </w:r>
      <w:r w:rsidR="00CB7E17">
        <w:t>quirements.</w:t>
      </w:r>
    </w:p>
    <w:p w:rsidR="00CB7E17" w:rsidP="007628B0" w:rsidRDefault="00CB7E17" w14:paraId="5A77E7E7" w14:textId="24807801">
      <w:r>
        <w:t xml:space="preserve">The business case exploration concluded that this </w:t>
      </w:r>
      <w:r w:rsidR="00DA046C">
        <w:t>cannot</w:t>
      </w:r>
      <w:r>
        <w:t xml:space="preserve"> be managed through goodwill or informal</w:t>
      </w:r>
      <w:r w:rsidR="0088691C">
        <w:t xml:space="preserve"> arrangements alone. </w:t>
      </w:r>
      <w:r w:rsidR="00DA046C">
        <w:t>Three alternatives were assessed: relying on existing internal safeguards</w:t>
      </w:r>
      <w:r w:rsidR="00E26D17">
        <w:t xml:space="preserve"> (rejected, as it provides no verifiable assurance): appointing a fully independent external oversight (considered </w:t>
      </w:r>
      <w:r w:rsidR="00922E97">
        <w:t>unreasonable at the current pilot</w:t>
      </w:r>
      <w:r w:rsidR="004754E1">
        <w:t xml:space="preserve"> scale); and removing the municipality’s data user role entirely (rejected, as this would undermine the core public </w:t>
      </w:r>
      <w:r w:rsidR="00DF07DD">
        <w:t>interest purpose of the dataspace).</w:t>
      </w:r>
    </w:p>
    <w:p w:rsidR="00E842A2" w:rsidP="007628B0" w:rsidRDefault="00DF07DD" w14:paraId="4410DB0E" w14:textId="2B637B78">
      <w:r>
        <w:t xml:space="preserve">The </w:t>
      </w:r>
      <w:r w:rsidR="00DA70F5">
        <w:t>recommended</w:t>
      </w:r>
      <w:r>
        <w:t xml:space="preserve"> approach combines </w:t>
      </w:r>
      <w:r w:rsidR="00CD5727">
        <w:t xml:space="preserve">four governance mechanisms: formal role separation through the access approval process, binding </w:t>
      </w:r>
      <w:r w:rsidR="00CF4669">
        <w:t xml:space="preserve">commitments through </w:t>
      </w:r>
      <w:r w:rsidR="00F01550">
        <w:t xml:space="preserve">use-case-specific data sharing agreements, independent oversight through continuous API-key monitoring and </w:t>
      </w:r>
      <w:r w:rsidR="006366AC">
        <w:t>compliance audits, and mandatory ethics review under ALTAI</w:t>
      </w:r>
      <w:r w:rsidR="008A3F46">
        <w:t xml:space="preserve"> before any new municipal use case approved. Together, these mechanisms ensure </w:t>
      </w:r>
      <w:r w:rsidR="00DA70F5">
        <w:t xml:space="preserve">the municipality can participate fully in the dataspace while remaining subject to the same governance processes </w:t>
      </w:r>
      <w:r w:rsidR="00C1670F">
        <w:t>as every other participant.</w:t>
      </w:r>
    </w:p>
    <w:p w:rsidR="00E842A2" w:rsidP="007628B0" w:rsidRDefault="00E842A2" w14:paraId="3277722A" w14:textId="1A32C66F">
      <w:r>
        <w:br w:type="page"/>
      </w:r>
    </w:p>
    <w:p w:rsidRPr="00C1670F" w:rsidR="00C1670F" w:rsidP="007628B0" w:rsidRDefault="00C1670F" w14:paraId="2A1965FE" w14:textId="45BC6681">
      <w:pPr>
        <w:rPr>
          <w:b/>
          <w:bCs/>
        </w:rPr>
      </w:pPr>
      <w:r w:rsidRPr="00C1670F">
        <w:rPr>
          <w:b/>
          <w:bCs/>
        </w:rPr>
        <w:t>Case 2 – Preventing Mission Creep</w:t>
      </w:r>
    </w:p>
    <w:p w:rsidR="00C1670F" w:rsidP="007628B0" w:rsidRDefault="00C1670F" w14:paraId="2F902F6F" w14:textId="6208094B">
      <w:r>
        <w:t>Mission Creep, the gradual</w:t>
      </w:r>
      <w:r w:rsidR="006644C9">
        <w:t xml:space="preserve"> expansion of data usage beyond its originally approved purpose, is one of the most common and least visible </w:t>
      </w:r>
      <w:r w:rsidR="00E842A2">
        <w:t xml:space="preserve">governance failures in smart city dataspaces. The Inzicht Verlicht </w:t>
      </w:r>
      <w:r w:rsidR="00966427">
        <w:t xml:space="preserve">dataspace was established specifically to monitor traffic flows and air quality on the J.F. Kennedylaan. Data </w:t>
      </w:r>
      <w:r w:rsidR="00364AF0">
        <w:t xml:space="preserve">that exists, however, tends to attract new uses, and </w:t>
      </w:r>
      <w:proofErr w:type="gramStart"/>
      <w:r w:rsidR="00364AF0">
        <w:t>well intentioned</w:t>
      </w:r>
      <w:proofErr w:type="gramEnd"/>
      <w:r w:rsidR="00364AF0">
        <w:t xml:space="preserve"> proposals to extend usage for cycling behavior </w:t>
      </w:r>
      <w:r w:rsidR="007A156B">
        <w:t>analysis or to combine air quality data with health represent exactly this risk.</w:t>
      </w:r>
    </w:p>
    <w:p w:rsidRPr="0070091C" w:rsidR="00772EE4" w:rsidP="007628B0" w:rsidRDefault="00772EE4" w14:paraId="2133F837" w14:textId="0A3B6A2F">
      <w:r>
        <w:t xml:space="preserve">The business case exploration showed that no single governance mechanism is sufficient to prevent mission creep on its own. The recommended approach </w:t>
      </w:r>
      <w:r w:rsidR="00204BC1">
        <w:t xml:space="preserve">addresses its four separate </w:t>
      </w:r>
      <w:r w:rsidR="00096782">
        <w:t>points: data sharin</w:t>
      </w:r>
      <w:r w:rsidR="005235E6">
        <w:t xml:space="preserve">g agreements that explicitly bound the permitted purpose, making </w:t>
      </w:r>
      <w:r w:rsidR="00D869DB">
        <w:t xml:space="preserve">unauthorized use a formal violation rather </w:t>
      </w:r>
      <w:r w:rsidR="00B534A8">
        <w:t>than a unrestricted judgement; mandatory ethics assessments</w:t>
      </w:r>
      <w:r w:rsidR="00AD3A8F">
        <w:t xml:space="preserve"> for a new use case, including those that appear to be </w:t>
      </w:r>
      <w:r w:rsidR="00731E4F">
        <w:t>ext</w:t>
      </w:r>
      <w:r w:rsidR="001B3030">
        <w:t>ensions of an existing one</w:t>
      </w:r>
      <w:r w:rsidR="00F92826">
        <w:t>; API-key monitoring that flags data requests falling outside an approved use; and regular governance reviews</w:t>
      </w:r>
      <w:r w:rsidR="001E2A02">
        <w:t xml:space="preserve"> that assess the overall pattern of usage rather than only individual requests. The combined effect is that every expansion of data usage requires a delib</w:t>
      </w:r>
      <w:r w:rsidR="009F40C0">
        <w:t>erate and documented approval decision, mission creep becomes structurally impossible to pursue without triggering a governance response.</w:t>
      </w:r>
    </w:p>
    <w:p w:rsidR="007628B0" w:rsidP="00ED5BA8" w:rsidRDefault="007628B0" w14:paraId="7E1B85C8" w14:textId="77777777">
      <w:pPr>
        <w:pStyle w:val="Heading2"/>
        <w:numPr>
          <w:ilvl w:val="1"/>
          <w:numId w:val="14"/>
        </w:numPr>
        <w:rPr>
          <w:rFonts w:cs="Calibri"/>
          <w:bCs/>
        </w:rPr>
      </w:pPr>
      <w:bookmarkStart w:name="_Toc231982076" w:id="45"/>
      <w:r>
        <w:rPr>
          <w:rFonts w:cs="Calibri"/>
          <w:bCs/>
        </w:rPr>
        <w:t>Conclusion</w:t>
      </w:r>
      <w:bookmarkEnd w:id="45"/>
    </w:p>
    <w:p w:rsidR="00B17336" w:rsidRDefault="00230D6E" w14:paraId="18424D6F" w14:textId="77777777">
      <w:pPr>
        <w:rPr>
          <w:rFonts w:cs="Arial"/>
        </w:rPr>
      </w:pPr>
      <w:r>
        <w:rPr>
          <w:rFonts w:cs="Arial"/>
        </w:rPr>
        <w:t>The research into this question produces actionable, evidence</w:t>
      </w:r>
      <w:r w:rsidR="00B17336">
        <w:rPr>
          <w:rFonts w:cs="Arial"/>
        </w:rPr>
        <w:t>-based policy recommendations for sustainable governance of the Inzicht Verlicht dataspace, grounded in community research, guideline conformity analysis, and business case exploration.</w:t>
      </w:r>
    </w:p>
    <w:p w:rsidR="0019388B" w:rsidRDefault="00B17336" w14:paraId="4C37B8C2" w14:textId="77777777">
      <w:pPr>
        <w:rPr>
          <w:rFonts w:cs="Arial"/>
        </w:rPr>
      </w:pPr>
      <w:r>
        <w:rPr>
          <w:rFonts w:cs="Arial"/>
        </w:rPr>
        <w:t>The library research identi</w:t>
      </w:r>
      <w:r w:rsidR="003E7B00">
        <w:rPr>
          <w:rFonts w:cs="Arial"/>
        </w:rPr>
        <w:t xml:space="preserve">fied four conditions that consistently determine whether a dataspace remains governable over time: formal and durable role assignments, legal compliance as an ongoing </w:t>
      </w:r>
      <w:r w:rsidR="00A73977">
        <w:rPr>
          <w:rFonts w:cs="Arial"/>
        </w:rPr>
        <w:t>process, independent oversight that resolves the municipality</w:t>
      </w:r>
      <w:r w:rsidR="00AF3438">
        <w:rPr>
          <w:rFonts w:cs="Arial"/>
        </w:rPr>
        <w:t xml:space="preserve">’s dual-role conflict, and citizen-facing transparency. These align with </w:t>
      </w:r>
      <w:r w:rsidR="00080A31">
        <w:rPr>
          <w:rFonts w:cs="Arial"/>
        </w:rPr>
        <w:t xml:space="preserve">the GDPR, the Data Governance Act, the </w:t>
      </w:r>
      <w:r w:rsidR="0019388B">
        <w:rPr>
          <w:rFonts w:cs="Arial"/>
        </w:rPr>
        <w:t>DS4SSCC Blueprint, and FRAIA, and directly address the structural gaps identified in Question 3 and 4.</w:t>
      </w:r>
    </w:p>
    <w:p w:rsidR="00654027" w:rsidRDefault="0019388B" w14:paraId="54C5B49D" w14:textId="77777777">
      <w:pPr>
        <w:rPr>
          <w:rFonts w:cs="Arial"/>
        </w:rPr>
      </w:pPr>
      <w:r>
        <w:rPr>
          <w:rFonts w:cs="Arial"/>
        </w:rPr>
        <w:t>The guideline confor</w:t>
      </w:r>
      <w:r w:rsidR="000E4AAF">
        <w:rPr>
          <w:rFonts w:cs="Arial"/>
        </w:rPr>
        <w:t>mity analysis confirmed that implementing the full set of recommendations would bring the dataspace into substant</w:t>
      </w:r>
      <w:r w:rsidR="00FE563A">
        <w:rPr>
          <w:rFonts w:cs="Arial"/>
        </w:rPr>
        <w:t>ially greater alignment with all four frameworks. The peer review validated their feasibility within the project’s context, identifying independent oversight as the highest prio</w:t>
      </w:r>
      <w:r w:rsidR="00654027">
        <w:rPr>
          <w:rFonts w:cs="Arial"/>
        </w:rPr>
        <w:t>rity measure since it is a structural precondition for several others.</w:t>
      </w:r>
    </w:p>
    <w:p w:rsidR="007E7784" w:rsidRDefault="00654027" w14:paraId="75BCECC2" w14:textId="77777777">
      <w:pPr>
        <w:rPr>
          <w:rFonts w:cs="Arial"/>
        </w:rPr>
      </w:pPr>
      <w:r>
        <w:rPr>
          <w:rFonts w:cs="Arial"/>
        </w:rPr>
        <w:t>The business case exploration demonstrated how the recommen</w:t>
      </w:r>
      <w:r w:rsidR="00E56FE8">
        <w:rPr>
          <w:rFonts w:cs="Arial"/>
        </w:rPr>
        <w:t xml:space="preserve">dations hold up under realistic governance pressure. The dual-role case showed that the municipality’s simultaneous position as data provider and primary user </w:t>
      </w:r>
      <w:r w:rsidR="001F147A">
        <w:rPr>
          <w:rFonts w:cs="Arial"/>
        </w:rPr>
        <w:t xml:space="preserve">requires structural separation and documented accountability, good intentions are not a sufficient </w:t>
      </w:r>
      <w:r w:rsidR="00C936F8">
        <w:rPr>
          <w:rFonts w:cs="Arial"/>
        </w:rPr>
        <w:t xml:space="preserve">safeguard. The mission creep case showed that well intentioned </w:t>
      </w:r>
      <w:r w:rsidR="00C936F8">
        <w:rPr>
          <w:rFonts w:cs="Arial"/>
        </w:rPr>
        <w:t>expansions of data use carry the same governance risks as deliberate misuse, and that preventing them requires</w:t>
      </w:r>
      <w:r w:rsidR="000A2D47">
        <w:rPr>
          <w:rFonts w:cs="Arial"/>
        </w:rPr>
        <w:t xml:space="preserve"> layered controls across agreements, ethics reviews, and monitoring rather than any single </w:t>
      </w:r>
      <w:r w:rsidR="007E7784">
        <w:rPr>
          <w:rFonts w:cs="Arial"/>
        </w:rPr>
        <w:t>mechanism.</w:t>
      </w:r>
    </w:p>
    <w:p w:rsidR="00384EA3" w:rsidRDefault="007E7784" w14:paraId="2ACEA9AA" w14:textId="126FE65C">
      <w:pPr>
        <w:rPr>
          <w:rFonts w:ascii="Calibri" w:hAnsi="Calibri" w:cs="Calibri"/>
        </w:rPr>
      </w:pPr>
      <w:r>
        <w:rPr>
          <w:rFonts w:cs="Arial"/>
        </w:rPr>
        <w:t xml:space="preserve">Sustainable governance of the Inzicht Verlicht </w:t>
      </w:r>
      <w:r w:rsidR="001A7B20">
        <w:rPr>
          <w:rFonts w:cs="Arial"/>
        </w:rPr>
        <w:t>dataspace is achievable, but o</w:t>
      </w:r>
      <w:r w:rsidR="00904F87">
        <w:rPr>
          <w:rFonts w:cs="Arial"/>
        </w:rPr>
        <w:t xml:space="preserve">nly by </w:t>
      </w:r>
      <w:r w:rsidR="00D14213">
        <w:rPr>
          <w:rFonts w:cs="Arial"/>
        </w:rPr>
        <w:t>moving from principles to procedures: from naming governance roles to formally assigning them, from refer</w:t>
      </w:r>
      <w:r w:rsidR="009D15AC">
        <w:rPr>
          <w:rFonts w:cs="Arial"/>
        </w:rPr>
        <w:t xml:space="preserve">encing GDPR to conducting DPIA’s, and from stating purpose limitation as a value to enforcing it </w:t>
      </w:r>
      <w:r w:rsidR="008474C5">
        <w:rPr>
          <w:rFonts w:cs="Arial"/>
        </w:rPr>
        <w:t>through agreements and monitoring that make any departure visible and actionable.</w:t>
      </w:r>
      <w:r w:rsidR="00384EA3">
        <w:rPr>
          <w:rFonts w:ascii="Calibri" w:hAnsi="Calibri" w:cs="Calibri"/>
        </w:rPr>
        <w:br w:type="page"/>
      </w:r>
    </w:p>
    <w:p w:rsidR="008F4F1D" w:rsidP="008F4F1D" w:rsidRDefault="00384EA3" w14:paraId="3FA757CE" w14:textId="77777777">
      <w:pPr>
        <w:pStyle w:val="Heading1"/>
        <w:rPr>
          <w:lang w:val="en-US"/>
        </w:rPr>
      </w:pPr>
      <w:bookmarkStart w:name="_Toc231982077" w:id="46"/>
      <w:r w:rsidRPr="008F4F1D">
        <w:rPr>
          <w:lang w:val="en-US"/>
        </w:rPr>
        <w:t>KPI’s</w:t>
      </w:r>
      <w:bookmarkEnd w:id="46"/>
    </w:p>
    <w:p w:rsidRPr="008F4F1D" w:rsidR="0016483A" w:rsidP="008F4F1D" w:rsidRDefault="0016483A" w14:paraId="6E873AA8" w14:textId="5799728A">
      <w:pPr>
        <w:rPr>
          <w:b/>
          <w:bCs/>
        </w:rPr>
      </w:pPr>
      <w:r w:rsidRPr="008F4F1D">
        <w:rPr>
          <w:b/>
          <w:bCs/>
        </w:rPr>
        <w:t>Measuring Responsible Data Governance: A Framework for Evaluation</w:t>
      </w:r>
    </w:p>
    <w:p w:rsidRPr="0016483A" w:rsidR="0016483A" w:rsidP="0016483A" w:rsidRDefault="0016483A" w14:paraId="54E22528" w14:textId="1A18B916">
      <w:r w:rsidRPr="0016483A">
        <w:t>To assess whether data is being used responsibly, transparently, and ethically, a structured set of Key Performance Indicators (KPIs) is necessary</w:t>
      </w:r>
      <w:r w:rsidR="00F048AA">
        <w:t>,</w:t>
      </w:r>
      <w:r w:rsidRPr="0016483A">
        <w:t xml:space="preserve"> ones that go beyond mere technical compliance and capture the human, </w:t>
      </w:r>
      <w:r w:rsidR="34C5978F">
        <w:t>organizational</w:t>
      </w:r>
      <w:r w:rsidRPr="0016483A">
        <w:t xml:space="preserve">, and ethical dimensions of data governance. Taken together, these KPIs form an interlocking system: compliance without transparency </w:t>
      </w:r>
      <w:proofErr w:type="gramStart"/>
      <w:r w:rsidRPr="0016483A">
        <w:t>breeds</w:t>
      </w:r>
      <w:proofErr w:type="gramEnd"/>
      <w:r w:rsidRPr="0016483A">
        <w:t xml:space="preserve"> distrust; transparency without accountability creates confusion; adoption without quality assurance leads to well-intentioned but flawed outcomes.</w:t>
      </w:r>
    </w:p>
    <w:p w:rsidRPr="0016483A" w:rsidR="0016483A" w:rsidP="0016483A" w:rsidRDefault="0016483A" w14:paraId="76366CE6" w14:textId="7761C04E">
      <w:r>
        <w:t xml:space="preserve">However, it is important to acknowledge a fundamental limitation </w:t>
      </w:r>
      <w:r w:rsidRPr="6FA15290">
        <w:rPr>
          <w:b/>
          <w:bCs/>
        </w:rPr>
        <w:t xml:space="preserve">given </w:t>
      </w:r>
      <w:r w:rsidRPr="6FA15290" w:rsidR="1A6A4F98">
        <w:rPr>
          <w:b/>
          <w:bCs/>
        </w:rPr>
        <w:t>by</w:t>
      </w:r>
      <w:r w:rsidRPr="6FA15290">
        <w:rPr>
          <w:b/>
          <w:bCs/>
        </w:rPr>
        <w:t xml:space="preserve"> the advisory nature of this project</w:t>
      </w:r>
      <w:r w:rsidRPr="6FA15290" w:rsidR="6333A58A">
        <w:rPr>
          <w:b/>
          <w:bCs/>
        </w:rPr>
        <w:t>;</w:t>
      </w:r>
      <w:r w:rsidRPr="6FA15290">
        <w:rPr>
          <w:b/>
          <w:bCs/>
        </w:rPr>
        <w:t xml:space="preserve"> the majority of these KPIs are difficult or impossible to measure directly.</w:t>
      </w:r>
      <w:r>
        <w:t xml:space="preserve"> The project delivers a framework and recommendations rather than implementing or operating a data system. As a result, many indicators</w:t>
      </w:r>
      <w:r w:rsidR="00B738A9">
        <w:t>,</w:t>
      </w:r>
      <w:r>
        <w:t xml:space="preserve"> such as incident counts, audit frequencies, or stakeholder satisfaction scores</w:t>
      </w:r>
      <w:r w:rsidR="00B738A9">
        <w:t>,</w:t>
      </w:r>
      <w:r>
        <w:t xml:space="preserve"> can only be defined and proposed, not empirically collected. Where possible, proxy measures or qualitative assessments are suggested, but the KPIs should primarily be understood as targets for the </w:t>
      </w:r>
      <w:r w:rsidR="5CA5A702">
        <w:t>organizations</w:t>
      </w:r>
      <w:r>
        <w:t xml:space="preserve"> that adopt the framework, rather than metrics </w:t>
      </w:r>
      <w:r w:rsidR="001901D5">
        <w:t xml:space="preserve">that </w:t>
      </w:r>
      <w:r>
        <w:t>the project itself can report on.</w:t>
      </w:r>
    </w:p>
    <w:p w:rsidRPr="0016483A" w:rsidR="0016483A" w:rsidP="0016483A" w:rsidRDefault="0016483A" w14:paraId="20FCBB1B" w14:textId="77777777">
      <w:pPr>
        <w:rPr>
          <w:b/>
          <w:bCs/>
        </w:rPr>
      </w:pPr>
      <w:r w:rsidRPr="0016483A">
        <w:rPr>
          <w:b/>
          <w:bCs/>
        </w:rPr>
        <w:t>1. Compliance &amp; Ethical Use</w:t>
      </w:r>
    </w:p>
    <w:p w:rsidRPr="0016483A" w:rsidR="0016483A" w:rsidP="0016483A" w:rsidRDefault="0016483A" w14:paraId="1AA2B57B" w14:textId="77777777">
      <w:r w:rsidRPr="0016483A">
        <w:rPr>
          <w:i/>
          <w:iCs/>
        </w:rPr>
        <w:t>Shows whether data is being used responsibly.</w:t>
      </w:r>
    </w:p>
    <w:p w:rsidRPr="0016483A" w:rsidR="0016483A" w:rsidP="0016483A" w:rsidRDefault="0016483A" w14:paraId="6F18EBC6" w14:textId="5F4083BD">
      <w:r w:rsidRPr="0016483A">
        <w:t>Responsible data use requires that usage cases adhere to defined governance protocols</w:t>
      </w:r>
      <w:r w:rsidR="193822CC">
        <w:t>,</w:t>
      </w:r>
      <w:r w:rsidRPr="0016483A">
        <w:t xml:space="preserve"> and that datasets carry a clear legal basis</w:t>
      </w:r>
      <w:r w:rsidR="00B738A9">
        <w:t>,</w:t>
      </w:r>
      <w:r w:rsidRPr="0016483A">
        <w:t xml:space="preserve"> particularly under GDPR. Key indicators include:</w:t>
      </w:r>
    </w:p>
    <w:p w:rsidRPr="0016483A" w:rsidR="0016483A" w:rsidP="0016483A" w:rsidRDefault="0016483A" w14:paraId="2A19FEB2" w14:textId="77777777">
      <w:pPr>
        <w:numPr>
          <w:ilvl w:val="0"/>
          <w:numId w:val="16"/>
        </w:numPr>
      </w:pPr>
      <w:r w:rsidRPr="0016483A">
        <w:t>% of data usage cases compliant with defined governance protocols</w:t>
      </w:r>
    </w:p>
    <w:p w:rsidRPr="0016483A" w:rsidR="0016483A" w:rsidP="0016483A" w:rsidRDefault="0016483A" w14:paraId="424CBE91" w14:textId="77777777">
      <w:pPr>
        <w:numPr>
          <w:ilvl w:val="0"/>
          <w:numId w:val="16"/>
        </w:numPr>
      </w:pPr>
      <w:r w:rsidRPr="0016483A">
        <w:t>Number of reported data misuse incidents</w:t>
      </w:r>
    </w:p>
    <w:p w:rsidRPr="0016483A" w:rsidR="0016483A" w:rsidP="0016483A" w:rsidRDefault="0016483A" w14:paraId="15379A98" w14:textId="77777777">
      <w:pPr>
        <w:numPr>
          <w:ilvl w:val="0"/>
          <w:numId w:val="16"/>
        </w:numPr>
      </w:pPr>
      <w:r w:rsidRPr="0016483A">
        <w:t>% of datasets with clear consent or legal basis (e.g. GDPR)</w:t>
      </w:r>
    </w:p>
    <w:p w:rsidRPr="0016483A" w:rsidR="0016483A" w:rsidP="0016483A" w:rsidRDefault="0016483A" w14:paraId="11326B80" w14:textId="77777777">
      <w:pPr>
        <w:numPr>
          <w:ilvl w:val="0"/>
          <w:numId w:val="16"/>
        </w:numPr>
      </w:pPr>
      <w:r w:rsidRPr="0016483A">
        <w:t>Number of ethical risks identified vs. mitigated</w:t>
      </w:r>
    </w:p>
    <w:p w:rsidRPr="0016483A" w:rsidR="0016483A" w:rsidP="0016483A" w:rsidRDefault="0016483A" w14:paraId="3F12B062" w14:textId="755C0FDD">
      <w:r w:rsidRPr="6FA15290">
        <w:rPr>
          <w:b/>
          <w:bCs/>
        </w:rPr>
        <w:t xml:space="preserve">Measurability </w:t>
      </w:r>
      <w:proofErr w:type="gramStart"/>
      <w:r w:rsidRPr="6FA15290">
        <w:rPr>
          <w:b/>
          <w:bCs/>
        </w:rPr>
        <w:t>note</w:t>
      </w:r>
      <w:proofErr w:type="gramEnd"/>
      <w:r w:rsidRPr="6FA15290">
        <w:rPr>
          <w:b/>
          <w:bCs/>
        </w:rPr>
        <w:t>:</w:t>
      </w:r>
      <w:r>
        <w:t xml:space="preserve"> In an advisory context, compliance rates and incident </w:t>
      </w:r>
      <w:proofErr w:type="gramStart"/>
      <w:r>
        <w:t>counts depend</w:t>
      </w:r>
      <w:proofErr w:type="gramEnd"/>
      <w:r>
        <w:t xml:space="preserve"> entirely on the </w:t>
      </w:r>
      <w:proofErr w:type="gramStart"/>
      <w:r>
        <w:t>adopting</w:t>
      </w:r>
      <w:proofErr w:type="gramEnd"/>
      <w:r>
        <w:t xml:space="preserve"> </w:t>
      </w:r>
      <w:r w:rsidR="69967EAD">
        <w:t>organization's</w:t>
      </w:r>
      <w:r>
        <w:t xml:space="preserve"> own reporting systems. The project can define what should be measured and </w:t>
      </w:r>
      <w:proofErr w:type="gramStart"/>
      <w:r>
        <w:t>how</w:t>
      </w:r>
      <w:r w:rsidR="001901D5">
        <w:t>,</w:t>
      </w:r>
      <w:r>
        <w:t xml:space="preserve"> but</w:t>
      </w:r>
      <w:proofErr w:type="gramEnd"/>
      <w:r>
        <w:t xml:space="preserve"> cannot generate these figures independently.</w:t>
      </w:r>
    </w:p>
    <w:p w:rsidR="00C813B1" w:rsidRDefault="00C813B1" w14:paraId="392A3C97" w14:textId="77777777">
      <w:pPr>
        <w:rPr>
          <w:b/>
          <w:bCs/>
        </w:rPr>
      </w:pPr>
      <w:r>
        <w:rPr>
          <w:b/>
          <w:bCs/>
        </w:rPr>
        <w:br w:type="page"/>
      </w:r>
    </w:p>
    <w:p w:rsidRPr="0016483A" w:rsidR="0016483A" w:rsidP="0016483A" w:rsidRDefault="0016483A" w14:paraId="4B0567D5" w14:textId="1116F7B9">
      <w:pPr>
        <w:rPr>
          <w:b/>
          <w:bCs/>
        </w:rPr>
      </w:pPr>
      <w:r w:rsidRPr="0016483A">
        <w:rPr>
          <w:b/>
          <w:bCs/>
        </w:rPr>
        <w:t>2. Transparency</w:t>
      </w:r>
    </w:p>
    <w:p w:rsidRPr="0016483A" w:rsidR="0016483A" w:rsidP="0016483A" w:rsidRDefault="0016483A" w14:paraId="296D341E" w14:textId="77777777">
      <w:r w:rsidRPr="0016483A">
        <w:rPr>
          <w:i/>
          <w:iCs/>
        </w:rPr>
        <w:t>Shows whether stakeholders understand what happens with the data.</w:t>
      </w:r>
    </w:p>
    <w:p w:rsidRPr="0016483A" w:rsidR="0016483A" w:rsidP="0016483A" w:rsidRDefault="0016483A" w14:paraId="5D751F4A" w14:textId="18A57147">
      <w:r w:rsidRPr="0016483A">
        <w:t>Transparency is not simply a bureaucratic requirement</w:t>
      </w:r>
      <w:r w:rsidR="1F3F0DC5">
        <w:t>;</w:t>
      </w:r>
      <w:r w:rsidRPr="0016483A">
        <w:t xml:space="preserve"> it is the mechanism through which trust is built and maintained. It can be operationalized through:</w:t>
      </w:r>
    </w:p>
    <w:p w:rsidRPr="0016483A" w:rsidR="0016483A" w:rsidP="0016483A" w:rsidRDefault="0016483A" w14:paraId="713E4328" w14:textId="77777777">
      <w:pPr>
        <w:numPr>
          <w:ilvl w:val="0"/>
          <w:numId w:val="17"/>
        </w:numPr>
      </w:pPr>
      <w:r w:rsidRPr="0016483A">
        <w:t>% of data processes documented and accessible to stakeholders</w:t>
      </w:r>
    </w:p>
    <w:p w:rsidRPr="0016483A" w:rsidR="0016483A" w:rsidP="0016483A" w:rsidRDefault="0016483A" w14:paraId="7CA3373C" w14:textId="77777777">
      <w:pPr>
        <w:numPr>
          <w:ilvl w:val="0"/>
          <w:numId w:val="17"/>
        </w:numPr>
      </w:pPr>
      <w:r w:rsidRPr="0016483A">
        <w:t>Stakeholder satisfaction score on data transparency (survey-based)</w:t>
      </w:r>
    </w:p>
    <w:p w:rsidRPr="0016483A" w:rsidR="0016483A" w:rsidP="0016483A" w:rsidRDefault="0016483A" w14:paraId="1C8AF39B" w14:textId="77777777">
      <w:pPr>
        <w:numPr>
          <w:ilvl w:val="0"/>
          <w:numId w:val="17"/>
        </w:numPr>
      </w:pPr>
      <w:r w:rsidRPr="0016483A">
        <w:t>% of datasets with clear metadata (origin, purpose, usage)</w:t>
      </w:r>
    </w:p>
    <w:p w:rsidR="0016483A" w:rsidP="0016483A" w:rsidRDefault="0016483A" w14:paraId="1BFC259F" w14:textId="581EFB03">
      <w:r w:rsidRPr="0016483A">
        <w:rPr>
          <w:b/>
          <w:bCs/>
        </w:rPr>
        <w:t xml:space="preserve">Measurability </w:t>
      </w:r>
      <w:proofErr w:type="gramStart"/>
      <w:r w:rsidRPr="0016483A">
        <w:rPr>
          <w:b/>
          <w:bCs/>
        </w:rPr>
        <w:t>note</w:t>
      </w:r>
      <w:proofErr w:type="gramEnd"/>
      <w:r w:rsidRPr="0016483A">
        <w:rPr>
          <w:b/>
          <w:bCs/>
        </w:rPr>
        <w:t>:</w:t>
      </w:r>
      <w:r w:rsidRPr="0016483A">
        <w:t xml:space="preserve"> Satisfaction scores and documentation audits require direct access to stakeholders and internal systems. Without </w:t>
      </w:r>
      <w:proofErr w:type="gramStart"/>
      <w:r w:rsidRPr="0016483A">
        <w:t>a live</w:t>
      </w:r>
      <w:proofErr w:type="gramEnd"/>
      <w:r w:rsidRPr="0016483A">
        <w:t xml:space="preserve"> implementation, these can only be assessed through interviews or hypothetical walkthroughs during the project itself.</w:t>
      </w:r>
    </w:p>
    <w:p w:rsidRPr="0016483A" w:rsidR="008F4F1D" w:rsidP="0016483A" w:rsidRDefault="008F4F1D" w14:paraId="14A47FCD" w14:textId="77777777"/>
    <w:p w:rsidRPr="0016483A" w:rsidR="0016483A" w:rsidP="0016483A" w:rsidRDefault="0016483A" w14:paraId="333BF3E5" w14:textId="77777777">
      <w:pPr>
        <w:rPr>
          <w:b/>
          <w:bCs/>
        </w:rPr>
      </w:pPr>
      <w:r w:rsidRPr="0016483A">
        <w:rPr>
          <w:b/>
          <w:bCs/>
        </w:rPr>
        <w:t>3. Accountability</w:t>
      </w:r>
    </w:p>
    <w:p w:rsidRPr="0016483A" w:rsidR="0016483A" w:rsidP="0016483A" w:rsidRDefault="0016483A" w14:paraId="1E085556" w14:textId="77777777">
      <w:r w:rsidRPr="0016483A">
        <w:rPr>
          <w:i/>
          <w:iCs/>
        </w:rPr>
        <w:t>Shows whether responsibilities are clearly assigned and followed.</w:t>
      </w:r>
    </w:p>
    <w:p w:rsidRPr="0016483A" w:rsidR="0016483A" w:rsidP="0016483A" w:rsidRDefault="0016483A" w14:paraId="40BE801C" w14:textId="3CB1F884">
      <w:r w:rsidRPr="0016483A">
        <w:t xml:space="preserve">Governance frameworks that cannot answer the question </w:t>
      </w:r>
      <w:r w:rsidR="55418C83">
        <w:t>of</w:t>
      </w:r>
      <w:r>
        <w:t xml:space="preserve"> </w:t>
      </w:r>
      <w:r w:rsidRPr="0016483A">
        <w:rPr>
          <w:i/>
          <w:iCs/>
        </w:rPr>
        <w:t>who is responsible?</w:t>
      </w:r>
      <w:r w:rsidRPr="0016483A">
        <w:t xml:space="preserve"> are structurally weak. Accountability can be tracked through:</w:t>
      </w:r>
    </w:p>
    <w:p w:rsidRPr="0016483A" w:rsidR="0016483A" w:rsidP="0016483A" w:rsidRDefault="0016483A" w14:paraId="67459107" w14:textId="77777777">
      <w:pPr>
        <w:numPr>
          <w:ilvl w:val="0"/>
          <w:numId w:val="18"/>
        </w:numPr>
      </w:pPr>
      <w:r w:rsidRPr="0016483A">
        <w:t>% of data activities with an assigned responsible stakeholder</w:t>
      </w:r>
    </w:p>
    <w:p w:rsidRPr="0016483A" w:rsidR="0016483A" w:rsidP="0016483A" w:rsidRDefault="0016483A" w14:paraId="72D9B818" w14:textId="77777777">
      <w:pPr>
        <w:numPr>
          <w:ilvl w:val="0"/>
          <w:numId w:val="18"/>
        </w:numPr>
      </w:pPr>
      <w:r w:rsidRPr="0016483A">
        <w:t>Time to resolve data-related issues or violations</w:t>
      </w:r>
    </w:p>
    <w:p w:rsidRPr="0016483A" w:rsidR="0016483A" w:rsidP="0016483A" w:rsidRDefault="0016483A" w14:paraId="257868E8" w14:textId="77777777">
      <w:pPr>
        <w:numPr>
          <w:ilvl w:val="0"/>
          <w:numId w:val="18"/>
        </w:numPr>
      </w:pPr>
      <w:r w:rsidRPr="0016483A">
        <w:t>Number of governance reviews or audits conducted per period</w:t>
      </w:r>
    </w:p>
    <w:p w:rsidR="0016483A" w:rsidP="0016483A" w:rsidRDefault="0016483A" w14:paraId="71692FDE" w14:textId="6E4D5B22">
      <w:r w:rsidRPr="0016483A">
        <w:rPr>
          <w:b/>
          <w:bCs/>
        </w:rPr>
        <w:t xml:space="preserve">Measurability </w:t>
      </w:r>
      <w:proofErr w:type="gramStart"/>
      <w:r w:rsidRPr="0016483A">
        <w:rPr>
          <w:b/>
          <w:bCs/>
        </w:rPr>
        <w:t>note</w:t>
      </w:r>
      <w:proofErr w:type="gramEnd"/>
      <w:r w:rsidRPr="0016483A">
        <w:rPr>
          <w:b/>
          <w:bCs/>
        </w:rPr>
        <w:t>:</w:t>
      </w:r>
      <w:r w:rsidRPr="0016483A">
        <w:t xml:space="preserve"> Resolution times and audit counts are operational metrics that only become meaningful once the framework is in active use</w:t>
      </w:r>
      <w:r w:rsidR="00B738A9">
        <w:t>,</w:t>
      </w:r>
      <w:r w:rsidRPr="0016483A">
        <w:t xml:space="preserve"> making them post-delivery indicators at best.</w:t>
      </w:r>
    </w:p>
    <w:p w:rsidRPr="0016483A" w:rsidR="008F4F1D" w:rsidP="0016483A" w:rsidRDefault="008F4F1D" w14:paraId="557B9E29" w14:textId="77777777"/>
    <w:p w:rsidR="008F4F1D" w:rsidRDefault="008F4F1D" w14:paraId="09A5CD60" w14:textId="77777777">
      <w:pPr>
        <w:rPr>
          <w:b/>
          <w:bCs/>
        </w:rPr>
      </w:pPr>
      <w:r>
        <w:rPr>
          <w:b/>
          <w:bCs/>
        </w:rPr>
        <w:br w:type="page"/>
      </w:r>
    </w:p>
    <w:p w:rsidRPr="0016483A" w:rsidR="0016483A" w:rsidP="0016483A" w:rsidRDefault="0016483A" w14:paraId="6B5E4A83" w14:textId="77777777">
      <w:pPr>
        <w:rPr>
          <w:b/>
          <w:bCs/>
        </w:rPr>
      </w:pPr>
      <w:r w:rsidRPr="0016483A">
        <w:rPr>
          <w:b/>
          <w:bCs/>
        </w:rPr>
        <w:t>4. Adoption of the Governance Framework</w:t>
      </w:r>
    </w:p>
    <w:p w:rsidRPr="0016483A" w:rsidR="0016483A" w:rsidP="0016483A" w:rsidRDefault="0016483A" w14:paraId="1B5D6EF7" w14:textId="77777777">
      <w:r w:rsidRPr="0016483A">
        <w:rPr>
          <w:i/>
          <w:iCs/>
        </w:rPr>
        <w:t xml:space="preserve">Shows whether the framework is </w:t>
      </w:r>
      <w:proofErr w:type="gramStart"/>
      <w:r w:rsidRPr="0016483A">
        <w:rPr>
          <w:i/>
          <w:iCs/>
        </w:rPr>
        <w:t>actually being</w:t>
      </w:r>
      <w:proofErr w:type="gramEnd"/>
      <w:r w:rsidRPr="0016483A">
        <w:rPr>
          <w:i/>
          <w:iCs/>
        </w:rPr>
        <w:t xml:space="preserve"> used.</w:t>
      </w:r>
    </w:p>
    <w:p w:rsidRPr="0016483A" w:rsidR="0016483A" w:rsidP="0016483A" w:rsidRDefault="0016483A" w14:paraId="6A76B871" w14:textId="77777777">
      <w:r w:rsidRPr="0016483A">
        <w:t>This is arguably the most critical dimension for an advisory project, since the core deliverable is guidance rather than a product. A framework that exists on paper but is ignored in practice has failed its purpose. Adoption can be gauged through:</w:t>
      </w:r>
    </w:p>
    <w:p w:rsidRPr="0016483A" w:rsidR="0016483A" w:rsidP="0016483A" w:rsidRDefault="0016483A" w14:paraId="678EC886" w14:textId="77777777">
      <w:pPr>
        <w:numPr>
          <w:ilvl w:val="0"/>
          <w:numId w:val="19"/>
        </w:numPr>
      </w:pPr>
      <w:r w:rsidRPr="0016483A">
        <w:t>% of stakeholders actively using the governance framework</w:t>
      </w:r>
    </w:p>
    <w:p w:rsidRPr="0016483A" w:rsidR="0016483A" w:rsidP="0016483A" w:rsidRDefault="0016483A" w14:paraId="6BAFB816" w14:textId="77777777">
      <w:pPr>
        <w:numPr>
          <w:ilvl w:val="0"/>
          <w:numId w:val="19"/>
        </w:numPr>
      </w:pPr>
      <w:r w:rsidRPr="0016483A">
        <w:t>Number of protocols or procedures implemented or formally referenced</w:t>
      </w:r>
    </w:p>
    <w:p w:rsidRPr="0016483A" w:rsidR="0016483A" w:rsidP="0016483A" w:rsidRDefault="0016483A" w14:paraId="4F36040D" w14:textId="77777777">
      <w:pPr>
        <w:numPr>
          <w:ilvl w:val="0"/>
          <w:numId w:val="19"/>
        </w:numPr>
      </w:pPr>
      <w:r w:rsidRPr="0016483A">
        <w:t>Stakeholder feedback on usability of the framework</w:t>
      </w:r>
    </w:p>
    <w:p w:rsidR="0016483A" w:rsidP="0016483A" w:rsidRDefault="0016483A" w14:paraId="2F642EC8" w14:textId="6DC8E940">
      <w:r w:rsidRPr="0016483A">
        <w:rPr>
          <w:b/>
          <w:bCs/>
        </w:rPr>
        <w:t xml:space="preserve">Measurability </w:t>
      </w:r>
      <w:proofErr w:type="gramStart"/>
      <w:r w:rsidRPr="0016483A">
        <w:rPr>
          <w:b/>
          <w:bCs/>
        </w:rPr>
        <w:t>note</w:t>
      </w:r>
      <w:proofErr w:type="gramEnd"/>
      <w:r w:rsidRPr="0016483A">
        <w:rPr>
          <w:b/>
          <w:bCs/>
        </w:rPr>
        <w:t>:</w:t>
      </w:r>
      <w:r w:rsidRPr="0016483A">
        <w:t xml:space="preserve"> This is one of the few areas where the project can collect partial data</w:t>
      </w:r>
      <w:r w:rsidR="00B738A9">
        <w:t>,</w:t>
      </w:r>
      <w:r w:rsidRPr="0016483A">
        <w:t xml:space="preserve"> for instance, through usability feedback gathered during stakeholder consultations or pilot presentations. However, true adoption can only be measured after the project concludes.</w:t>
      </w:r>
    </w:p>
    <w:p w:rsidRPr="0016483A" w:rsidR="008F4F1D" w:rsidP="0016483A" w:rsidRDefault="008F4F1D" w14:paraId="655DD3A6" w14:textId="77777777"/>
    <w:p w:rsidRPr="0016483A" w:rsidR="0016483A" w:rsidP="0016483A" w:rsidRDefault="0016483A" w14:paraId="31636D5F" w14:textId="77777777">
      <w:pPr>
        <w:rPr>
          <w:b/>
          <w:bCs/>
        </w:rPr>
      </w:pPr>
      <w:r w:rsidRPr="0016483A">
        <w:rPr>
          <w:b/>
          <w:bCs/>
        </w:rPr>
        <w:t>5. Data Quality &amp; Reliability</w:t>
      </w:r>
    </w:p>
    <w:p w:rsidRPr="0016483A" w:rsidR="0016483A" w:rsidP="0016483A" w:rsidRDefault="0016483A" w14:paraId="4E67B0A0" w14:textId="77777777">
      <w:r w:rsidRPr="0016483A">
        <w:rPr>
          <w:i/>
          <w:iCs/>
        </w:rPr>
        <w:t xml:space="preserve">Shows whether the data being governed is </w:t>
      </w:r>
      <w:proofErr w:type="gramStart"/>
      <w:r w:rsidRPr="0016483A">
        <w:rPr>
          <w:i/>
          <w:iCs/>
        </w:rPr>
        <w:t>actually trustworthy</w:t>
      </w:r>
      <w:proofErr w:type="gramEnd"/>
      <w:r w:rsidRPr="0016483A">
        <w:rPr>
          <w:i/>
          <w:iCs/>
        </w:rPr>
        <w:t>.</w:t>
      </w:r>
    </w:p>
    <w:p w:rsidRPr="0016483A" w:rsidR="0016483A" w:rsidP="0016483A" w:rsidRDefault="0016483A" w14:paraId="7AEFBF2A" w14:textId="77777777">
      <w:r w:rsidRPr="0016483A">
        <w:t>Responsible use also means using good data. Irresponsible outcomes often stem not from malicious intent, but from poor data quality. Relevant indicators include:</w:t>
      </w:r>
    </w:p>
    <w:p w:rsidRPr="0016483A" w:rsidR="0016483A" w:rsidP="0016483A" w:rsidRDefault="0016483A" w14:paraId="5A85B4AE" w14:textId="77777777">
      <w:pPr>
        <w:numPr>
          <w:ilvl w:val="0"/>
          <w:numId w:val="20"/>
        </w:numPr>
      </w:pPr>
      <w:r w:rsidRPr="0016483A">
        <w:t>% of datasets meeting defined quality standards</w:t>
      </w:r>
    </w:p>
    <w:p w:rsidRPr="0016483A" w:rsidR="0016483A" w:rsidP="0016483A" w:rsidRDefault="0016483A" w14:paraId="56714BF4" w14:textId="77777777">
      <w:pPr>
        <w:numPr>
          <w:ilvl w:val="0"/>
          <w:numId w:val="20"/>
        </w:numPr>
      </w:pPr>
      <w:r w:rsidRPr="0016483A">
        <w:t>Data completeness and accuracy scores</w:t>
      </w:r>
    </w:p>
    <w:p w:rsidRPr="0016483A" w:rsidR="0016483A" w:rsidP="0016483A" w:rsidRDefault="0016483A" w14:paraId="537BBA30" w14:textId="77777777">
      <w:pPr>
        <w:numPr>
          <w:ilvl w:val="0"/>
          <w:numId w:val="20"/>
        </w:numPr>
      </w:pPr>
      <w:r w:rsidRPr="0016483A">
        <w:t>Number of data errors detected over time</w:t>
      </w:r>
    </w:p>
    <w:p w:rsidRPr="0016483A" w:rsidR="0016483A" w:rsidP="0016483A" w:rsidRDefault="0016483A" w14:paraId="1727AB12" w14:textId="78B35FED">
      <w:r w:rsidRPr="0016483A">
        <w:rPr>
          <w:b/>
          <w:bCs/>
        </w:rPr>
        <w:t xml:space="preserve">Measurability </w:t>
      </w:r>
      <w:proofErr w:type="gramStart"/>
      <w:r w:rsidRPr="0016483A">
        <w:rPr>
          <w:b/>
          <w:bCs/>
        </w:rPr>
        <w:t>note</w:t>
      </w:r>
      <w:proofErr w:type="gramEnd"/>
      <w:r w:rsidRPr="0016483A">
        <w:rPr>
          <w:b/>
          <w:bCs/>
        </w:rPr>
        <w:t>:</w:t>
      </w:r>
      <w:r w:rsidRPr="0016483A">
        <w:t xml:space="preserve"> These metrics are highly context-specific and require access to the actual datasets in use. In an advisory setting, the project can define quality criteria and assessment methods but cannot produce the scores themselves.</w:t>
      </w:r>
    </w:p>
    <w:p w:rsidRPr="0016483A" w:rsidR="0016483A" w:rsidP="0016483A" w:rsidRDefault="00C813B1" w14:paraId="67DA8038" w14:textId="64692297">
      <w:pPr>
        <w:rPr>
          <w:b/>
          <w:bCs/>
        </w:rPr>
      </w:pPr>
      <w:r>
        <w:rPr>
          <w:b/>
          <w:bCs/>
        </w:rPr>
        <w:br w:type="page"/>
      </w:r>
      <w:r w:rsidRPr="0016483A" w:rsidR="0016483A">
        <w:rPr>
          <w:b/>
          <w:bCs/>
        </w:rPr>
        <w:t>6. Risk Management</w:t>
      </w:r>
    </w:p>
    <w:p w:rsidRPr="0016483A" w:rsidR="0016483A" w:rsidP="0016483A" w:rsidRDefault="0016483A" w14:paraId="4475C467" w14:textId="77777777">
      <w:r w:rsidRPr="0016483A">
        <w:rPr>
          <w:i/>
          <w:iCs/>
        </w:rPr>
        <w:t xml:space="preserve">Shows whether the framework </w:t>
      </w:r>
      <w:proofErr w:type="gramStart"/>
      <w:r w:rsidRPr="0016483A">
        <w:rPr>
          <w:i/>
          <w:iCs/>
        </w:rPr>
        <w:t>actually reduces</w:t>
      </w:r>
      <w:proofErr w:type="gramEnd"/>
      <w:r w:rsidRPr="0016483A">
        <w:rPr>
          <w:i/>
          <w:iCs/>
        </w:rPr>
        <w:t xml:space="preserve"> risk.</w:t>
      </w:r>
    </w:p>
    <w:p w:rsidRPr="0016483A" w:rsidR="0016483A" w:rsidP="0016483A" w:rsidRDefault="0016483A" w14:paraId="74FC7802" w14:textId="77777777">
      <w:r w:rsidRPr="0016483A">
        <w:t>Risk management indicators reveal whether governance is reactive or genuinely preventive:</w:t>
      </w:r>
    </w:p>
    <w:p w:rsidRPr="0016483A" w:rsidR="0016483A" w:rsidP="0016483A" w:rsidRDefault="0016483A" w14:paraId="1494E7B4" w14:textId="77777777">
      <w:pPr>
        <w:numPr>
          <w:ilvl w:val="0"/>
          <w:numId w:val="21"/>
        </w:numPr>
      </w:pPr>
      <w:r w:rsidRPr="0016483A">
        <w:t>Number of identified risks vs. mitigated risks</w:t>
      </w:r>
    </w:p>
    <w:p w:rsidRPr="0016483A" w:rsidR="0016483A" w:rsidP="0016483A" w:rsidRDefault="0016483A" w14:paraId="2F89AB59" w14:textId="77777777">
      <w:pPr>
        <w:numPr>
          <w:ilvl w:val="0"/>
          <w:numId w:val="21"/>
        </w:numPr>
      </w:pPr>
      <w:r w:rsidRPr="0016483A">
        <w:t>Reduction in high-risk data usage scenarios</w:t>
      </w:r>
    </w:p>
    <w:p w:rsidRPr="0016483A" w:rsidR="0016483A" w:rsidP="0016483A" w:rsidRDefault="0016483A" w14:paraId="4F7F4FB2" w14:textId="77777777">
      <w:pPr>
        <w:numPr>
          <w:ilvl w:val="0"/>
          <w:numId w:val="21"/>
        </w:numPr>
      </w:pPr>
      <w:r w:rsidRPr="0016483A">
        <w:t>Frequency of risk assessments performed</w:t>
      </w:r>
    </w:p>
    <w:p w:rsidRPr="0016483A" w:rsidR="0016483A" w:rsidP="0016483A" w:rsidRDefault="0016483A" w14:paraId="2FFE17A8" w14:textId="7E0D8171">
      <w:r w:rsidRPr="0016483A">
        <w:rPr>
          <w:b/>
          <w:bCs/>
        </w:rPr>
        <w:t xml:space="preserve">Measurability </w:t>
      </w:r>
      <w:proofErr w:type="gramStart"/>
      <w:r w:rsidRPr="0016483A">
        <w:rPr>
          <w:b/>
          <w:bCs/>
        </w:rPr>
        <w:t>note</w:t>
      </w:r>
      <w:proofErr w:type="gramEnd"/>
      <w:r w:rsidRPr="0016483A">
        <w:rPr>
          <w:b/>
          <w:bCs/>
        </w:rPr>
        <w:t>:</w:t>
      </w:r>
      <w:r w:rsidRPr="0016483A">
        <w:t xml:space="preserve"> Risk reduction can only be demonstrated longitudinally</w:t>
      </w:r>
      <w:r w:rsidR="00B738A9">
        <w:t>,</w:t>
      </w:r>
      <w:r w:rsidR="7CFE5FC6">
        <w:t xml:space="preserve"> </w:t>
      </w:r>
      <w:r w:rsidR="00155495">
        <w:tab/>
      </w:r>
      <w:r w:rsidRPr="0016483A">
        <w:t xml:space="preserve"> over time and across repeated assessments. A single advisory engagement can identify and categorize risks but cannot validate mitigation outcomes.</w:t>
      </w:r>
    </w:p>
    <w:p w:rsidRPr="0016483A" w:rsidR="0016483A" w:rsidP="0016483A" w:rsidRDefault="0016483A" w14:paraId="41DE58E1" w14:textId="77777777">
      <w:pPr>
        <w:rPr>
          <w:b/>
          <w:bCs/>
        </w:rPr>
      </w:pPr>
      <w:r w:rsidRPr="0016483A">
        <w:rPr>
          <w:b/>
          <w:bCs/>
        </w:rPr>
        <w:t>7. Scalability &amp; Reusability</w:t>
      </w:r>
    </w:p>
    <w:p w:rsidRPr="0016483A" w:rsidR="0016483A" w:rsidP="0016483A" w:rsidRDefault="0016483A" w14:paraId="0A048935" w14:textId="77777777">
      <w:r w:rsidRPr="0016483A">
        <w:rPr>
          <w:i/>
          <w:iCs/>
        </w:rPr>
        <w:t>Shows whether the framework has broader applicability.</w:t>
      </w:r>
    </w:p>
    <w:p w:rsidRPr="0016483A" w:rsidR="0016483A" w:rsidP="0016483A" w:rsidRDefault="0016483A" w14:paraId="6B106515" w14:textId="77777777">
      <w:r w:rsidRPr="0016483A">
        <w:t>A framework designed for a single use case has limited impact. One that adapts across departments, sectors, or organizations multiplies its value considerably:</w:t>
      </w:r>
    </w:p>
    <w:p w:rsidRPr="0016483A" w:rsidR="0016483A" w:rsidP="0016483A" w:rsidRDefault="0016483A" w14:paraId="6F02C49F" w14:textId="77777777">
      <w:pPr>
        <w:numPr>
          <w:ilvl w:val="0"/>
          <w:numId w:val="22"/>
        </w:numPr>
      </w:pPr>
      <w:r w:rsidRPr="0016483A">
        <w:t>Number of new or external use cases applying the framework</w:t>
      </w:r>
    </w:p>
    <w:p w:rsidRPr="0016483A" w:rsidR="0016483A" w:rsidP="0016483A" w:rsidRDefault="0016483A" w14:paraId="583DFA7A" w14:textId="77777777">
      <w:pPr>
        <w:numPr>
          <w:ilvl w:val="0"/>
          <w:numId w:val="22"/>
        </w:numPr>
      </w:pPr>
      <w:r w:rsidRPr="0016483A">
        <w:t>Ease-of-adaptation score (rated by stakeholders)</w:t>
      </w:r>
    </w:p>
    <w:p w:rsidRPr="0016483A" w:rsidR="0016483A" w:rsidP="0016483A" w:rsidRDefault="0016483A" w14:paraId="2533945C" w14:textId="56039DD8">
      <w:r w:rsidRPr="0016483A">
        <w:rPr>
          <w:b/>
          <w:bCs/>
        </w:rPr>
        <w:t xml:space="preserve">Measurability </w:t>
      </w:r>
      <w:proofErr w:type="gramStart"/>
      <w:r w:rsidRPr="0016483A">
        <w:rPr>
          <w:b/>
          <w:bCs/>
        </w:rPr>
        <w:t>note</w:t>
      </w:r>
      <w:proofErr w:type="gramEnd"/>
      <w:r w:rsidRPr="0016483A">
        <w:rPr>
          <w:b/>
          <w:bCs/>
        </w:rPr>
        <w:t>:</w:t>
      </w:r>
      <w:r w:rsidRPr="0016483A">
        <w:t xml:space="preserve"> Scalability is inherently a long-term metric. It can be partially assessed during the project through expert feedback or scenario testing, but real-world evidence only emerges after deployment.</w:t>
      </w:r>
    </w:p>
    <w:p w:rsidRPr="0016483A" w:rsidR="0016483A" w:rsidP="0016483A" w:rsidRDefault="0016483A" w14:paraId="46CF60D1" w14:textId="5BBCB0CA">
      <w:r w:rsidRPr="0016483A">
        <w:t xml:space="preserve">In </w:t>
      </w:r>
      <w:r w:rsidR="2AAC9540">
        <w:t>summary</w:t>
      </w:r>
      <w:r w:rsidRPr="0016483A">
        <w:t>, while these KPIs provide a comprehensive evaluation structure for responsible data governance, their practical measurement largely falls outside the scope of an advisory project. The value of defining them lies not in generating data now, but in equipping adopting organizations with a clear, actionable measurement agenda from the moment the framework goes live.</w:t>
      </w:r>
    </w:p>
    <w:p w:rsidR="52BABC46" w:rsidRDefault="52BABC46" w14:paraId="7DFFD6AF" w14:textId="1A14488F"/>
    <w:p w:rsidRPr="005D466A" w:rsidR="00BD7866" w:rsidP="005D466A" w:rsidRDefault="00A47A4F" w14:paraId="2157815D" w14:textId="1B5C514B">
      <w:r>
        <w:br w:type="page"/>
      </w:r>
    </w:p>
    <w:bookmarkStart w:name="_Toc231982078" w:displacedByCustomXml="next" w:id="47"/>
    <w:sdt>
      <w:sdtPr>
        <w:id w:val="1634133762"/>
        <w:docPartObj>
          <w:docPartGallery w:val="Bibliographies"/>
          <w:docPartUnique/>
        </w:docPartObj>
        <w:rPr>
          <w:rFonts w:ascii="Aptos" w:hAnsi="Aptos" w:eastAsia="Aptos" w:asciiTheme="minorAscii" w:hAnsiTheme="minorAscii" w:eastAsiaTheme="minorAscii"/>
          <w:b w:val="1"/>
          <w:bCs w:val="1"/>
          <w:caps w:val="0"/>
          <w:smallCaps w:val="0"/>
          <w:color w:val="auto"/>
          <w:spacing w:val="0"/>
          <w:kern w:val="2"/>
          <w:sz w:val="24"/>
          <w:szCs w:val="24"/>
          <w:lang w:val="en-US"/>
          <w14:ligatures w14:val="standardContextual"/>
        </w:rPr>
      </w:sdtPr>
      <w:sdtEndPr>
        <w:rPr>
          <w:rFonts w:ascii="Aptos" w:hAnsi="Aptos" w:eastAsia="Aptos" w:asciiTheme="minorAscii" w:hAnsiTheme="minorAscii" w:eastAsiaTheme="minorAscii"/>
          <w:b w:val="0"/>
          <w:bCs w:val="0"/>
          <w:caps w:val="0"/>
          <w:smallCaps w:val="0"/>
          <w:color w:val="auto"/>
          <w:sz w:val="24"/>
          <w:szCs w:val="24"/>
          <w:lang w:val="en-US"/>
        </w:rPr>
      </w:sdtEndPr>
      <w:sdtContent>
        <w:p w:rsidR="005D466A" w:rsidP="005D466A" w:rsidRDefault="005D466A" w14:paraId="33DF7774" w14:textId="23844A2C">
          <w:pPr>
            <w:pStyle w:val="Heading1"/>
            <w:numPr>
              <w:ilvl w:val="0"/>
              <w:numId w:val="15"/>
            </w:numPr>
          </w:pPr>
          <w:r>
            <w:t>Bibliography</w:t>
          </w:r>
          <w:bookmarkEnd w:id="47"/>
        </w:p>
        <w:sdt>
          <w:sdtPr>
            <w:id w:val="111145805"/>
            <w:bibliography/>
          </w:sdtPr>
          <w:sdtEndPr/>
          <w:sdtContent>
            <w:p w:rsidR="00A24B67" w:rsidRDefault="005D466A" w14:paraId="0FC5FD3B" w14:textId="77777777">
              <w:pPr>
                <w:pStyle w:val="Bibliography"/>
                <w:ind w:left="720" w:hanging="720"/>
                <w:rPr>
                  <w:noProof/>
                  <w:kern w:val="0"/>
                  <w:lang w:val="nl-NL"/>
                  <w14:ligatures w14:val="none"/>
                </w:rPr>
              </w:pPr>
              <w:r>
                <w:fldChar w:fldCharType="begin"/>
              </w:r>
              <w:r w:rsidRPr="00B9693A">
                <w:rPr>
                  <w:lang w:val="nl-NL"/>
                </w:rPr>
                <w:instrText xml:space="preserve"> BIBLIOGRAPHY </w:instrText>
              </w:r>
              <w:r>
                <w:fldChar w:fldCharType="separate"/>
              </w:r>
              <w:r>
                <w:rPr>
                  <w:noProof/>
                  <w:lang w:val="nl-NL"/>
                </w:rPr>
                <w:t xml:space="preserve">Aussems, M. (2025, 11 24). </w:t>
              </w:r>
              <w:r>
                <w:rPr>
                  <w:i/>
                  <w:iCs/>
                  <w:noProof/>
                  <w:lang w:val="nl-NL"/>
                </w:rPr>
                <w:t>Wat is Gaia-X, voor wie is het, en hoe gebruik je het?</w:t>
              </w:r>
              <w:r>
                <w:rPr>
                  <w:noProof/>
                  <w:lang w:val="nl-NL"/>
                </w:rPr>
                <w:t xml:space="preserve"> Opgehaald van IT daily: https://itdaily.be/blogs/cloud/wat-is-gaia-x-data-spaces/</w:t>
              </w:r>
            </w:p>
            <w:p w:rsidR="00A24B67" w:rsidRDefault="0064576E" w14:paraId="39907F13" w14:textId="77777777">
              <w:pPr>
                <w:pStyle w:val="Bibliography"/>
                <w:ind w:left="720" w:hanging="720"/>
                <w:rPr>
                  <w:noProof/>
                  <w:lang w:val="nl-NL"/>
                </w:rPr>
              </w:pPr>
              <w:r w:rsidRPr="00B9693A">
                <w:rPr>
                  <w:i/>
                </w:rPr>
                <w:t>General Data Protection Regulation</w:t>
              </w:r>
              <w:r w:rsidRPr="00B9693A">
                <w:t xml:space="preserve">. (2018, May 25). </w:t>
              </w:r>
              <w:r>
                <w:rPr>
                  <w:noProof/>
                  <w:lang w:val="nl-NL"/>
                </w:rPr>
                <w:t>Opgehaald van gdpr-info: s://gdpr-info.eu</w:t>
              </w:r>
            </w:p>
            <w:p w:rsidR="00A24B67" w:rsidRDefault="0064576E" w14:paraId="7767D00B" w14:textId="77777777">
              <w:pPr>
                <w:pStyle w:val="Bibliography"/>
                <w:ind w:left="720" w:hanging="720"/>
                <w:rPr>
                  <w:noProof/>
                  <w:lang w:val="nl-NL"/>
                </w:rPr>
              </w:pPr>
              <w:r>
                <w:rPr>
                  <w:i/>
                  <w:iCs/>
                  <w:noProof/>
                  <w:lang w:val="nl-NL"/>
                </w:rPr>
                <w:t>International Data spaces: uitwisselen veilig en makkelijk</w:t>
              </w:r>
              <w:r>
                <w:rPr>
                  <w:noProof/>
                  <w:lang w:val="nl-NL"/>
                </w:rPr>
                <w:t>. (sd). Opgehaald van tnno: https://www.tno.nl/nl/technologie-wetenschap/technologieen/international-data-spaces/?msclkid=c6ab45e5a19913da5b172c3205c08637&amp;utm_source=bing&amp;utm_medium=cpc&amp;utm_campaign=4.0%20-%20ISP&amp;utm_term=international%20data%20spaces&amp;utm_content=international%20dat</w:t>
              </w:r>
            </w:p>
            <w:p w:rsidRPr="00426817" w:rsidR="00426817" w:rsidP="00426817" w:rsidRDefault="00426817" w14:paraId="13AE8D3D" w14:textId="77777777">
              <w:pPr>
                <w:rPr>
                  <w:lang w:val="en-GB"/>
                </w:rPr>
              </w:pPr>
              <w:r w:rsidRPr="00426817">
                <w:rPr>
                  <w:lang w:val="en-GB"/>
                </w:rPr>
                <w:t xml:space="preserve">Art. 5 GDPR – Principles relating to processing of personal data - General Data Protection Regulation (GDPR). (2021, October 22). </w:t>
              </w:r>
              <w:r w:rsidRPr="00426817">
                <w:rPr>
                  <w:i/>
                  <w:iCs/>
                  <w:lang w:val="en-GB"/>
                </w:rPr>
                <w:t>General Data Protection Regulation (GDPR).</w:t>
              </w:r>
              <w:r w:rsidRPr="00426817">
                <w:rPr>
                  <w:lang w:val="en-GB"/>
                </w:rPr>
                <w:br/>
              </w:r>
              <w:hyperlink w:tgtFrame="_new" w:history="1" r:id="rId17">
                <w:r w:rsidRPr="00426817">
                  <w:rPr>
                    <w:rStyle w:val="Hyperlink"/>
                    <w:lang w:val="en-GB"/>
                  </w:rPr>
                  <w:t>https://gdpr-info.eu/art-5-gdpr/</w:t>
                </w:r>
              </w:hyperlink>
            </w:p>
            <w:p w:rsidRPr="00426817" w:rsidR="00426817" w:rsidP="00426817" w:rsidRDefault="00426817" w14:paraId="2A6D216C" w14:textId="77777777">
              <w:pPr>
                <w:rPr>
                  <w:lang w:val="en-GB"/>
                </w:rPr>
              </w:pPr>
              <w:r w:rsidRPr="00426817">
                <w:rPr>
                  <w:lang w:val="en-GB"/>
                </w:rPr>
                <w:t xml:space="preserve">Borgesius, F. Z., Moller, J., Kruikemeier, S., Fathaigh, R. O., Irion, K., Dobber, T., Bodo, B., &amp; de Vreese, C. (2017). </w:t>
              </w:r>
              <w:r w:rsidRPr="00426817">
                <w:rPr>
                  <w:i/>
                  <w:iCs/>
                  <w:lang w:val="en-GB"/>
                </w:rPr>
                <w:t>Online political microtargeting: Promises and threats for democracy.</w:t>
              </w:r>
              <w:r w:rsidRPr="00426817">
                <w:rPr>
                  <w:lang w:val="en-GB"/>
                </w:rPr>
                <w:t xml:space="preserve"> Utrecht Law Review, 14(1), 82–96.</w:t>
              </w:r>
              <w:r w:rsidRPr="00426817">
                <w:rPr>
                  <w:lang w:val="en-GB"/>
                </w:rPr>
                <w:br/>
              </w:r>
              <w:hyperlink w:tgtFrame="_new" w:history="1" r:id="rId18">
                <w:r w:rsidRPr="00426817">
                  <w:rPr>
                    <w:rStyle w:val="Hyperlink"/>
                    <w:lang w:val="en-GB"/>
                  </w:rPr>
                  <w:t>https://utrechtlawreview.org/articles/10.18352/ulr.420</w:t>
                </w:r>
              </w:hyperlink>
            </w:p>
            <w:p w:rsidRPr="00426817" w:rsidR="00426817" w:rsidP="00426817" w:rsidRDefault="00426817" w14:paraId="37A7F1EB" w14:textId="77777777">
              <w:pPr>
                <w:rPr>
                  <w:lang w:val="en-GB"/>
                </w:rPr>
              </w:pPr>
              <w:r w:rsidRPr="00426817">
                <w:rPr>
                  <w:lang w:val="en-GB"/>
                </w:rPr>
                <w:t xml:space="preserve">Cavoukian, A. (2010). </w:t>
              </w:r>
              <w:r w:rsidRPr="00426817">
                <w:rPr>
                  <w:i/>
                  <w:iCs/>
                  <w:lang w:val="en-GB"/>
                </w:rPr>
                <w:t>Privacy by design: The 7 foundational principles.</w:t>
              </w:r>
              <w:r w:rsidRPr="00426817">
                <w:rPr>
                  <w:lang w:val="en-GB"/>
                </w:rPr>
                <w:t xml:space="preserve"> Information and Privacy Commissioner of Ontario.</w:t>
              </w:r>
              <w:r w:rsidRPr="00426817">
                <w:rPr>
                  <w:lang w:val="en-GB"/>
                </w:rPr>
                <w:br/>
              </w:r>
              <w:hyperlink w:tgtFrame="_new" w:history="1" r:id="rId19">
                <w:r w:rsidRPr="00426817">
                  <w:rPr>
                    <w:rStyle w:val="Hyperlink"/>
                    <w:lang w:val="en-GB"/>
                  </w:rPr>
                  <w:t>https://www.ipc.on.ca/wp-content/uploads/Resources/7foundationalprinciples.pdf</w:t>
                </w:r>
              </w:hyperlink>
            </w:p>
            <w:p w:rsidRPr="00426817" w:rsidR="00426817" w:rsidP="00426817" w:rsidRDefault="00426817" w14:paraId="40F89B5D" w14:textId="77777777">
              <w:pPr>
                <w:rPr>
                  <w:lang w:val="en-GB"/>
                </w:rPr>
              </w:pPr>
              <w:r w:rsidRPr="00426817">
                <w:rPr>
                  <w:lang w:val="en-GB"/>
                </w:rPr>
                <w:t xml:space="preserve">City, A. S. (n.d.). </w:t>
              </w:r>
              <w:r w:rsidRPr="00426817">
                <w:rPr>
                  <w:i/>
                  <w:iCs/>
                  <w:lang w:val="en-GB"/>
                </w:rPr>
                <w:t>Policy guidelines and ethical principles for digital technology.</w:t>
              </w:r>
              <w:r w:rsidRPr="00426817">
                <w:rPr>
                  <w:lang w:val="en-GB"/>
                </w:rPr>
                <w:t xml:space="preserve"> Amsterdam Smart City.</w:t>
              </w:r>
              <w:r w:rsidRPr="00426817">
                <w:rPr>
                  <w:lang w:val="en-GB"/>
                </w:rPr>
                <w:br/>
              </w:r>
              <w:hyperlink w:tgtFrame="_new" w:history="1" r:id="rId20">
                <w:r w:rsidRPr="00426817">
                  <w:rPr>
                    <w:rStyle w:val="Hyperlink"/>
                    <w:lang w:val="en-GB"/>
                  </w:rPr>
                  <w:t>https://amsterdamsmartcity.com/updates/news/policy-guidelines-and-ethical-principles-for-digital-technology</w:t>
                </w:r>
              </w:hyperlink>
            </w:p>
            <w:p w:rsidRPr="00426817" w:rsidR="00426817" w:rsidP="00426817" w:rsidRDefault="00426817" w14:paraId="1C6D1435" w14:textId="77777777">
              <w:pPr>
                <w:rPr>
                  <w:lang w:val="en-GB"/>
                </w:rPr>
              </w:pPr>
              <w:r w:rsidRPr="00426817">
                <w:rPr>
                  <w:lang w:val="en-GB"/>
                </w:rPr>
                <w:t xml:space="preserve">European Commission. (2022). </w:t>
              </w:r>
              <w:r w:rsidRPr="00426817">
                <w:rPr>
                  <w:i/>
                  <w:iCs/>
                  <w:lang w:val="en-GB"/>
                </w:rPr>
                <w:t>Regulation (EU) 2022/868 on European data governance (Data Governance Act).</w:t>
              </w:r>
              <w:r w:rsidRPr="00426817">
                <w:rPr>
                  <w:lang w:val="en-GB"/>
                </w:rPr>
                <w:t xml:space="preserve"> Official Journal of the European Union.</w:t>
              </w:r>
              <w:r w:rsidRPr="00426817">
                <w:rPr>
                  <w:lang w:val="en-GB"/>
                </w:rPr>
                <w:br/>
              </w:r>
              <w:hyperlink w:tgtFrame="_new" w:history="1" r:id="rId21">
                <w:r w:rsidRPr="00426817">
                  <w:rPr>
                    <w:rStyle w:val="Hyperlink"/>
                    <w:lang w:val="en-GB"/>
                  </w:rPr>
                  <w:t>https://eur-lex.europa.eu/legal-content/EN/TXT/?uri=CELEX:32022R0868</w:t>
                </w:r>
              </w:hyperlink>
            </w:p>
            <w:p w:rsidRPr="00426817" w:rsidR="00426817" w:rsidP="00426817" w:rsidRDefault="00426817" w14:paraId="1FACEB6E" w14:textId="77777777">
              <w:pPr>
                <w:rPr>
                  <w:lang w:val="en-GB"/>
                </w:rPr>
              </w:pPr>
              <w:r w:rsidRPr="00426817">
                <w:rPr>
                  <w:lang w:val="en-GB"/>
                </w:rPr>
                <w:t xml:space="preserve">European data governance and amending Regulation (EU) 2018/1724 (Data Governance Act). (2022, May 30). </w:t>
              </w:r>
              <w:r w:rsidRPr="00426817">
                <w:rPr>
                  <w:i/>
                  <w:iCs/>
                  <w:lang w:val="en-GB"/>
                </w:rPr>
                <w:t>eur-lex.europa.eu.</w:t>
              </w:r>
              <w:r w:rsidRPr="00426817">
                <w:rPr>
                  <w:lang w:val="en-GB"/>
                </w:rPr>
                <w:br/>
              </w:r>
              <w:hyperlink w:tgtFrame="_new" w:history="1" r:id="rId22">
                <w:r w:rsidRPr="00426817">
                  <w:rPr>
                    <w:rStyle w:val="Hyperlink"/>
                    <w:lang w:val="en-GB"/>
                  </w:rPr>
                  <w:t>https://eur-lex.europa.eu/legal-content/EN/TXT/?uri=CELEX%3A32022R0868&amp;qid=1777899229692</w:t>
                </w:r>
              </w:hyperlink>
            </w:p>
            <w:p w:rsidRPr="00426817" w:rsidR="00426817" w:rsidP="00426817" w:rsidRDefault="00426817" w14:paraId="47D09AF3" w14:textId="77777777">
              <w:pPr>
                <w:rPr>
                  <w:lang w:val="en-GB"/>
                </w:rPr>
              </w:pPr>
              <w:r w:rsidRPr="00426817">
                <w:rPr>
                  <w:lang w:val="en-GB"/>
                </w:rPr>
                <w:t xml:space="preserve">European Parliament &amp; Council of the European Union. (2016). </w:t>
              </w:r>
              <w:r w:rsidRPr="00426817">
                <w:rPr>
                  <w:i/>
                  <w:iCs/>
                  <w:lang w:val="en-GB"/>
                </w:rPr>
                <w:t>Regulation (EU) 2016/679 (General Data Protection Regulation).</w:t>
              </w:r>
              <w:r w:rsidRPr="00426817">
                <w:rPr>
                  <w:lang w:val="en-GB"/>
                </w:rPr>
                <w:t xml:space="preserve"> Official Journal of the European Union.</w:t>
              </w:r>
              <w:r w:rsidRPr="00426817">
                <w:rPr>
                  <w:lang w:val="en-GB"/>
                </w:rPr>
                <w:br/>
              </w:r>
              <w:hyperlink w:tgtFrame="_new" w:history="1" r:id="rId23">
                <w:r w:rsidRPr="00426817">
                  <w:rPr>
                    <w:rStyle w:val="Hyperlink"/>
                    <w:lang w:val="en-GB"/>
                  </w:rPr>
                  <w:t>https://eur-lex.europa.eu/legal-content/EN/TXT/?uri=CELEX:32016R0679</w:t>
                </w:r>
              </w:hyperlink>
            </w:p>
            <w:p w:rsidRPr="00426817" w:rsidR="00426817" w:rsidP="00426817" w:rsidRDefault="00426817" w14:paraId="28D53AC3" w14:textId="77777777">
              <w:pPr>
                <w:rPr>
                  <w:lang w:val="en-GB"/>
                </w:rPr>
              </w:pPr>
              <w:r w:rsidRPr="00426817">
                <w:rPr>
                  <w:lang w:val="en-GB"/>
                </w:rPr>
                <w:t xml:space="preserve">High-Level Expert Group on AI. (2020). </w:t>
              </w:r>
              <w:r w:rsidRPr="00426817">
                <w:rPr>
                  <w:i/>
                  <w:iCs/>
                  <w:lang w:val="en-GB"/>
                </w:rPr>
                <w:t>Assessment List for Trustworthy AI (ALTAI).</w:t>
              </w:r>
              <w:r w:rsidRPr="00426817">
                <w:rPr>
                  <w:lang w:val="en-GB"/>
                </w:rPr>
                <w:t xml:space="preserve"> European Commission.</w:t>
              </w:r>
              <w:r w:rsidRPr="00426817">
                <w:rPr>
                  <w:lang w:val="en-GB"/>
                </w:rPr>
                <w:br/>
              </w:r>
              <w:hyperlink w:tgtFrame="_new" w:history="1" r:id="rId24">
                <w:r w:rsidRPr="00426817">
                  <w:rPr>
                    <w:rStyle w:val="Hyperlink"/>
                    <w:lang w:val="en-GB"/>
                  </w:rPr>
                  <w:t>https://digital-strategy.ec.europa.eu/en/library/assessment-list-trustworthy-artificial-intelligence-altai-self-assessment</w:t>
                </w:r>
              </w:hyperlink>
            </w:p>
            <w:p w:rsidRPr="00426817" w:rsidR="00426817" w:rsidP="00426817" w:rsidRDefault="00426817" w14:paraId="173C268E" w14:textId="77777777">
              <w:pPr>
                <w:rPr>
                  <w:lang w:val="en-GB"/>
                </w:rPr>
              </w:pPr>
              <w:r w:rsidRPr="00426817">
                <w:rPr>
                  <w:lang w:val="en-GB"/>
                </w:rPr>
                <w:t xml:space="preserve">Janssen, M. J., Brous, P. B., Estevez, E. E., Barbosa, L. S., &amp; Janowski, T. (2020). </w:t>
              </w:r>
              <w:r w:rsidRPr="00426817">
                <w:rPr>
                  <w:i/>
                  <w:iCs/>
                  <w:lang w:val="en-GB"/>
                </w:rPr>
                <w:t>Data governance: Organizing data for trustworthy artificial intelligence.</w:t>
              </w:r>
              <w:r w:rsidRPr="00426817">
                <w:rPr>
                  <w:lang w:val="en-GB"/>
                </w:rPr>
                <w:t xml:space="preserve"> Government Information Quarterly, 37(3), 101493.</w:t>
              </w:r>
              <w:r w:rsidRPr="00426817">
                <w:rPr>
                  <w:lang w:val="en-GB"/>
                </w:rPr>
                <w:br/>
              </w:r>
              <w:hyperlink w:tgtFrame="_new" w:history="1" r:id="rId25">
                <w:r w:rsidRPr="00426817">
                  <w:rPr>
                    <w:rStyle w:val="Hyperlink"/>
                    <w:lang w:val="en-GB"/>
                  </w:rPr>
                  <w:t>https://www.sciencedirect.com/science/article/abs/pii/S0740624X20302719</w:t>
                </w:r>
              </w:hyperlink>
            </w:p>
            <w:p w:rsidRPr="00426817" w:rsidR="00426817" w:rsidP="00426817" w:rsidRDefault="00426817" w14:paraId="799FD5A5" w14:textId="77777777">
              <w:pPr>
                <w:rPr>
                  <w:lang w:val="en-GB"/>
                </w:rPr>
              </w:pPr>
              <w:r w:rsidRPr="00426817">
                <w:rPr>
                  <w:lang w:val="nl-NL"/>
                </w:rPr>
                <w:t xml:space="preserve">Janssen, M., Konopnicki, D., Snowdon, J. L., &amp; Ojo, A. (2020). </w:t>
              </w:r>
              <w:r w:rsidRPr="00426817">
                <w:rPr>
                  <w:i/>
                  <w:iCs/>
                  <w:lang w:val="en-GB"/>
                </w:rPr>
                <w:t>Driving public sector innovation using big and open linked data (BOLD).</w:t>
              </w:r>
              <w:r w:rsidRPr="00426817">
                <w:rPr>
                  <w:lang w:val="en-GB"/>
                </w:rPr>
                <w:t xml:space="preserve"> Information Systems Frontiers, 17(4), 1–10.</w:t>
              </w:r>
              <w:r w:rsidRPr="00426817">
                <w:rPr>
                  <w:lang w:val="en-GB"/>
                </w:rPr>
                <w:br/>
              </w:r>
              <w:hyperlink w:tgtFrame="_new" w:history="1" r:id="rId26">
                <w:r w:rsidRPr="00426817">
                  <w:rPr>
                    <w:rStyle w:val="Hyperlink"/>
                    <w:lang w:val="en-GB"/>
                  </w:rPr>
                  <w:t>https://doi.org/10.1007/s10796-014-9506-z</w:t>
                </w:r>
              </w:hyperlink>
            </w:p>
            <w:p w:rsidRPr="00426817" w:rsidR="00426817" w:rsidP="00426817" w:rsidRDefault="00426817" w14:paraId="03D426C3" w14:textId="77777777">
              <w:pPr>
                <w:rPr>
                  <w:lang w:val="en-GB"/>
                </w:rPr>
              </w:pPr>
              <w:r w:rsidRPr="00426817">
                <w:rPr>
                  <w:lang w:val="en-GB"/>
                </w:rPr>
                <w:t xml:space="preserve">Kitchin, R. (2016). </w:t>
              </w:r>
              <w:r w:rsidRPr="00426817">
                <w:rPr>
                  <w:i/>
                  <w:iCs/>
                  <w:lang w:val="en-GB"/>
                </w:rPr>
                <w:t>The ethics of smart cities and urban science.</w:t>
              </w:r>
              <w:r w:rsidRPr="00426817">
                <w:rPr>
                  <w:lang w:val="en-GB"/>
                </w:rPr>
                <w:t xml:space="preserve"> Philosophical Transactions of the Royal Society A, 374(2083), 20160115.</w:t>
              </w:r>
              <w:r w:rsidRPr="00426817">
                <w:rPr>
                  <w:lang w:val="en-GB"/>
                </w:rPr>
                <w:br/>
              </w:r>
              <w:hyperlink w:tgtFrame="_new" w:history="1" r:id="rId27">
                <w:r w:rsidRPr="00426817">
                  <w:rPr>
                    <w:rStyle w:val="Hyperlink"/>
                    <w:lang w:val="en-GB"/>
                  </w:rPr>
                  <w:t>https://doi.org/10.1098/rsta.2016.0115</w:t>
                </w:r>
              </w:hyperlink>
            </w:p>
            <w:p w:rsidRPr="00426817" w:rsidR="00426817" w:rsidP="00426817" w:rsidRDefault="00426817" w14:paraId="7CDFB837" w14:textId="77777777">
              <w:pPr>
                <w:rPr>
                  <w:lang w:val="en-GB"/>
                </w:rPr>
              </w:pPr>
              <w:r w:rsidRPr="00426817">
                <w:rPr>
                  <w:lang w:val="en-GB"/>
                </w:rPr>
                <w:t xml:space="preserve">Micheli, M. (2022). </w:t>
              </w:r>
              <w:r w:rsidRPr="00426817">
                <w:rPr>
                  <w:i/>
                  <w:iCs/>
                  <w:lang w:val="en-GB"/>
                </w:rPr>
                <w:t>Public bodies’ access to private sector data.</w:t>
              </w:r>
              <w:r w:rsidRPr="00426817">
                <w:rPr>
                  <w:lang w:val="en-GB"/>
                </w:rPr>
                <w:t xml:space="preserve"> First Monday.</w:t>
              </w:r>
              <w:r w:rsidRPr="00426817">
                <w:rPr>
                  <w:lang w:val="en-GB"/>
                </w:rPr>
                <w:br/>
              </w:r>
              <w:hyperlink w:tgtFrame="_new" w:history="1" r:id="rId28">
                <w:r w:rsidRPr="00426817">
                  <w:rPr>
                    <w:rStyle w:val="Hyperlink"/>
                    <w:lang w:val="en-GB"/>
                  </w:rPr>
                  <w:t>https://firstmonday.org/ojs/index.php/fm/article/view/11720/10600</w:t>
                </w:r>
              </w:hyperlink>
            </w:p>
            <w:p w:rsidRPr="00426817" w:rsidR="00426817" w:rsidP="00426817" w:rsidRDefault="00426817" w14:paraId="2DAB0AB8" w14:textId="77777777">
              <w:pPr>
                <w:rPr>
                  <w:lang w:val="en-GB"/>
                </w:rPr>
              </w:pPr>
              <w:r w:rsidRPr="00426817">
                <w:rPr>
                  <w:lang w:val="en-GB"/>
                </w:rPr>
                <w:t xml:space="preserve">Ministry of the Interior and Kingdom Relations. (2021). </w:t>
              </w:r>
              <w:r w:rsidRPr="00426817">
                <w:rPr>
                  <w:i/>
                  <w:iCs/>
                  <w:lang w:val="en-GB"/>
                </w:rPr>
                <w:t>Assessment framework for high-risk algorithms (FRAIA).</w:t>
              </w:r>
              <w:r w:rsidRPr="00426817">
                <w:rPr>
                  <w:lang w:val="en-GB"/>
                </w:rPr>
                <w:t xml:space="preserve"> Dutch Government.</w:t>
              </w:r>
              <w:r w:rsidRPr="00426817">
                <w:rPr>
                  <w:lang w:val="en-GB"/>
                </w:rPr>
                <w:br/>
              </w:r>
              <w:hyperlink w:tgtFrame="_new" w:history="1" r:id="rId29">
                <w:r w:rsidRPr="00426817">
                  <w:rPr>
                    <w:rStyle w:val="Hyperlink"/>
                    <w:lang w:val="en-GB"/>
                  </w:rPr>
                  <w:t>https://www.rijksoverheid.nl/documenten/rapporten/2021/09/29/toetsingskader-algoritmes-hoge-risico</w:t>
                </w:r>
              </w:hyperlink>
            </w:p>
            <w:p w:rsidRPr="00426817" w:rsidR="00426817" w:rsidP="00426817" w:rsidRDefault="00426817" w14:paraId="15C70EB0" w14:textId="77777777">
              <w:pPr>
                <w:rPr>
                  <w:lang w:val="en-GB"/>
                </w:rPr>
              </w:pPr>
              <w:r w:rsidRPr="00426817">
                <w:rPr>
                  <w:lang w:val="en-GB"/>
                </w:rPr>
                <w:t xml:space="preserve">REGULATION (EU) 2023/2854 OF THE EUROPEAN PARLIAMENT AND OF THE COUNCIL. (2023, December 13). </w:t>
              </w:r>
              <w:r w:rsidRPr="00426817">
                <w:rPr>
                  <w:i/>
                  <w:iCs/>
                  <w:lang w:val="en-GB"/>
                </w:rPr>
                <w:t>eur-lex.europa.eu.</w:t>
              </w:r>
              <w:r w:rsidRPr="00426817">
                <w:rPr>
                  <w:lang w:val="en-GB"/>
                </w:rPr>
                <w:br/>
              </w:r>
              <w:hyperlink w:tgtFrame="_new" w:history="1" r:id="rId30">
                <w:r w:rsidRPr="00426817">
                  <w:rPr>
                    <w:rStyle w:val="Hyperlink"/>
                    <w:lang w:val="en-GB"/>
                  </w:rPr>
                  <w:t>https://eur-lex.europa.eu/eli/reg/2023/2854/oj/eng</w:t>
                </w:r>
              </w:hyperlink>
            </w:p>
            <w:p w:rsidRPr="00426817" w:rsidR="00426817" w:rsidP="00426817" w:rsidRDefault="00426817" w14:paraId="108B2140" w14:textId="77777777">
              <w:pPr>
                <w:rPr>
                  <w:lang w:val="en-GB"/>
                </w:rPr>
              </w:pPr>
              <w:r w:rsidRPr="00426817">
                <w:rPr>
                  <w:lang w:val="en-GB"/>
                </w:rPr>
                <w:t xml:space="preserve">Sepp, S., Boege, G., Thoeye, T., Meszaros, S., Fuart, F., Puura, A., Beyer, A., Nyland, J., Soe, R.-M., De Lama Sanchez, N., Barker, L., Gil García, G., &amp; Brouwers, M. (2025). </w:t>
              </w:r>
              <w:r w:rsidRPr="00426817">
                <w:rPr>
                  <w:i/>
                  <w:iCs/>
                  <w:lang w:val="en-GB"/>
                </w:rPr>
                <w:t>Deliverable 2.3 Blueprint Evolution.</w:t>
              </w:r>
            </w:p>
            <w:p w:rsidRPr="00426817" w:rsidR="00426817" w:rsidP="00426817" w:rsidRDefault="00426817" w14:paraId="44874747" w14:textId="77777777">
              <w:pPr>
                <w:rPr>
                  <w:lang w:val="en-GB"/>
                </w:rPr>
              </w:pPr>
              <w:r w:rsidRPr="00426817">
                <w:rPr>
                  <w:lang w:val="en-GB"/>
                </w:rPr>
                <w:t xml:space="preserve">Smart Cities Marketplace. (2023). </w:t>
              </w:r>
              <w:r w:rsidRPr="00426817">
                <w:rPr>
                  <w:i/>
                  <w:iCs/>
                  <w:lang w:val="en-GB"/>
                </w:rPr>
                <w:t>DS4SSCC Data Space Blueprint for Smart and Sustainable Cities and Communities.</w:t>
              </w:r>
              <w:r w:rsidRPr="00426817">
                <w:rPr>
                  <w:lang w:val="en-GB"/>
                </w:rPr>
                <w:t xml:space="preserve"> European Commission.</w:t>
              </w:r>
              <w:r w:rsidRPr="00426817">
                <w:rPr>
                  <w:lang w:val="en-GB"/>
                </w:rPr>
                <w:br/>
              </w:r>
              <w:hyperlink w:tgtFrame="_new" w:history="1" r:id="rId31">
                <w:r w:rsidRPr="00426817">
                  <w:rPr>
                    <w:rStyle w:val="Hyperlink"/>
                    <w:lang w:val="en-GB"/>
                  </w:rPr>
                  <w:t>https://smart-cities-marketplace.ec.europa.eu/insights/publications/ds4sscc-deployment-guide</w:t>
                </w:r>
              </w:hyperlink>
            </w:p>
            <w:p w:rsidRPr="00426817" w:rsidR="00426817" w:rsidP="00426817" w:rsidRDefault="00426817" w14:paraId="14C63D05" w14:textId="77777777">
              <w:pPr>
                <w:rPr>
                  <w:lang w:val="en-GB"/>
                </w:rPr>
              </w:pPr>
              <w:r w:rsidRPr="00426817">
                <w:rPr>
                  <w:lang w:val="en-GB"/>
                </w:rPr>
                <w:t xml:space="preserve">Wilkinson, M. D., Dumontier, M., Aalbersberg, I. J., Appleton, G., Axton, M., Baak, A., &amp; Mons, B. (2016). </w:t>
              </w:r>
              <w:r w:rsidRPr="00426817">
                <w:rPr>
                  <w:i/>
                  <w:iCs/>
                  <w:lang w:val="en-GB"/>
                </w:rPr>
                <w:t>The FAIR guiding principles for scientific data management and stewardship.</w:t>
              </w:r>
              <w:r w:rsidRPr="00426817">
                <w:rPr>
                  <w:lang w:val="en-GB"/>
                </w:rPr>
                <w:t xml:space="preserve"> Scientific Data, 3, 160018.</w:t>
              </w:r>
              <w:r w:rsidRPr="00426817">
                <w:rPr>
                  <w:lang w:val="en-GB"/>
                </w:rPr>
                <w:br/>
              </w:r>
              <w:hyperlink w:tgtFrame="_new" w:history="1" r:id="rId32">
                <w:r w:rsidRPr="00426817">
                  <w:rPr>
                    <w:rStyle w:val="Hyperlink"/>
                    <w:lang w:val="en-GB"/>
                  </w:rPr>
                  <w:t>https://doi.org/10.1038/sdata.2016.18</w:t>
                </w:r>
              </w:hyperlink>
            </w:p>
            <w:p w:rsidRPr="00426817" w:rsidR="00426817" w:rsidP="00426817" w:rsidRDefault="00426817" w14:paraId="141FB492" w14:textId="77777777">
              <w:pPr>
                <w:rPr>
                  <w:lang w:val="en-GB"/>
                </w:rPr>
              </w:pPr>
              <w:r w:rsidRPr="00426817">
                <w:rPr>
                  <w:lang w:val="en-GB"/>
                </w:rPr>
                <w:t xml:space="preserve">Wolford, B. (2025, August 19). </w:t>
              </w:r>
              <w:r w:rsidRPr="00426817">
                <w:rPr>
                  <w:i/>
                  <w:iCs/>
                  <w:lang w:val="en-GB"/>
                </w:rPr>
                <w:t>What is GDPR, the EU’s new data protection law?</w:t>
              </w:r>
              <w:r w:rsidRPr="00426817">
                <w:rPr>
                  <w:lang w:val="en-GB"/>
                </w:rPr>
                <w:t xml:space="preserve"> GDPR.eu.</w:t>
              </w:r>
              <w:r w:rsidRPr="00426817">
                <w:rPr>
                  <w:lang w:val="en-GB"/>
                </w:rPr>
                <w:br/>
              </w:r>
              <w:hyperlink w:tgtFrame="_new" w:history="1" r:id="rId33">
                <w:r w:rsidRPr="00426817">
                  <w:rPr>
                    <w:rStyle w:val="Hyperlink"/>
                    <w:lang w:val="en-GB"/>
                  </w:rPr>
                  <w:t>https://gdpr.eu/what-is-gdpr/</w:t>
                </w:r>
              </w:hyperlink>
            </w:p>
            <w:p w:rsidRPr="00426817" w:rsidR="00426817" w:rsidP="00426817" w:rsidRDefault="00426817" w14:paraId="1F5F1105" w14:textId="77777777">
              <w:pPr>
                <w:rPr>
                  <w:lang w:val="en-GB"/>
                </w:rPr>
              </w:pPr>
              <w:r w:rsidRPr="00426817">
                <w:rPr>
                  <w:lang w:val="en-GB"/>
                </w:rPr>
                <w:t xml:space="preserve">Zuboff, S. (2019). </w:t>
              </w:r>
              <w:r w:rsidRPr="00426817">
                <w:rPr>
                  <w:i/>
                  <w:iCs/>
                  <w:lang w:val="en-GB"/>
                </w:rPr>
                <w:t>The age of surveillance capitalism: The fight for a human future at the new frontier of power.</w:t>
              </w:r>
              <w:r w:rsidRPr="00426817">
                <w:rPr>
                  <w:lang w:val="en-GB"/>
                </w:rPr>
                <w:br/>
              </w:r>
              <w:hyperlink w:tgtFrame="_new" w:history="1" r:id="rId34">
                <w:r w:rsidRPr="00426817">
                  <w:rPr>
                    <w:rStyle w:val="Hyperlink"/>
                    <w:lang w:val="en-GB"/>
                  </w:rPr>
                  <w:t>http://bvbr.bib-bvb.de:8991/F?func=service&amp;doc_library=BVB01&amp;local_base=BVB01&amp;doc_number=030808442&amp;sequence=000001&amp;line_number=0001&amp;func_code=DB_RECORDS&amp;service_type=MEDIA</w:t>
                </w:r>
              </w:hyperlink>
            </w:p>
            <w:p w:rsidRPr="00426817" w:rsidR="00426817" w:rsidP="00426817" w:rsidRDefault="00426817" w14:paraId="7982FEC0" w14:textId="77777777">
              <w:pPr>
                <w:rPr>
                  <w:lang w:val="en-GB"/>
                </w:rPr>
              </w:pPr>
            </w:p>
            <w:p w:rsidR="005D466A" w:rsidRDefault="005D466A" w14:paraId="1EF67841" w14:textId="31033584">
              <w:r>
                <w:rPr>
                  <w:b/>
                  <w:bCs/>
                  <w:noProof/>
                </w:rPr>
                <w:fldChar w:fldCharType="end"/>
              </w:r>
            </w:p>
          </w:sdtContent>
        </w:sdt>
      </w:sdtContent>
    </w:sdt>
    <w:p w:rsidRPr="005D466A" w:rsidR="00BD7866" w:rsidRDefault="00BD7866" w14:paraId="4D7D37A9" w14:textId="77777777">
      <w:pPr>
        <w:rPr>
          <w:rFonts w:eastAsiaTheme="minorEastAsia"/>
          <w:caps/>
          <w:color w:val="FFFFFF" w:themeColor="background1"/>
          <w:spacing w:val="15"/>
          <w:kern w:val="0"/>
          <w:sz w:val="22"/>
          <w:szCs w:val="22"/>
          <w14:ligatures w14:val="none"/>
        </w:rPr>
      </w:pPr>
      <w:r>
        <w:br w:type="page"/>
      </w:r>
    </w:p>
    <w:p w:rsidRPr="00CA10D6" w:rsidR="007628B0" w:rsidP="00663EE1" w:rsidRDefault="00BD7866" w14:paraId="11141989" w14:textId="1D37B97A">
      <w:pPr>
        <w:pStyle w:val="Heading1"/>
        <w:ind w:left="709" w:hanging="709"/>
        <w:rPr>
          <w:lang w:val="en-US"/>
        </w:rPr>
      </w:pPr>
      <w:bookmarkStart w:name="_Toc231982079" w:id="48"/>
      <w:r w:rsidRPr="00CA10D6">
        <w:rPr>
          <w:lang w:val="en-US"/>
        </w:rPr>
        <w:t xml:space="preserve">9. </w:t>
      </w:r>
      <w:bookmarkStart w:name="_Toc224637143" w:id="49"/>
      <w:r w:rsidRPr="00CA10D6">
        <w:rPr>
          <w:lang w:val="en-US"/>
        </w:rPr>
        <w:t>Appendices</w:t>
      </w:r>
      <w:bookmarkEnd w:id="48"/>
      <w:bookmarkEnd w:id="49"/>
    </w:p>
    <w:p w:rsidR="210937BC" w:rsidP="210937BC" w:rsidRDefault="210937BC" w14:paraId="0588EFBD" w14:textId="37388A03"/>
    <w:p w:rsidR="21A37AF6" w:rsidP="210937BC" w:rsidRDefault="21A37AF6" w14:paraId="186E569E" w14:textId="20ED9698">
      <w:pPr>
        <w:spacing w:before="240" w:after="240"/>
        <w:rPr>
          <w:rFonts w:eastAsia="Arial" w:cs="Arial"/>
        </w:rPr>
      </w:pPr>
      <w:r w:rsidRPr="210937BC">
        <w:rPr>
          <w:rFonts w:eastAsia="Arial" w:cs="Arial"/>
        </w:rPr>
        <w:t>Sources:</w:t>
      </w:r>
      <w:r>
        <w:br/>
      </w:r>
      <w:hyperlink r:id="rId35">
        <w:r w:rsidRPr="210937BC">
          <w:rPr>
            <w:rStyle w:val="Hyperlink"/>
            <w:rFonts w:eastAsia="Arial" w:cs="Arial"/>
          </w:rPr>
          <w:t>https://amsterdamsmartcity.com/updates/news/policy-guidelines-and-ethical-principles-for-digital-technology</w:t>
        </w:r>
      </w:hyperlink>
    </w:p>
    <w:p w:rsidR="21A37AF6" w:rsidP="210937BC" w:rsidRDefault="21A37AF6" w14:paraId="378CA754" w14:textId="6DA0CF1F">
      <w:pPr>
        <w:spacing w:before="240" w:after="240"/>
        <w:rPr>
          <w:rFonts w:eastAsia="Arial" w:cs="Arial"/>
        </w:rPr>
      </w:pPr>
      <w:r>
        <w:br/>
      </w:r>
      <w:hyperlink r:id="rId36">
        <w:r w:rsidRPr="210937BC">
          <w:rPr>
            <w:rStyle w:val="Hyperlink"/>
            <w:rFonts w:eastAsia="Arial" w:cs="Arial"/>
          </w:rPr>
          <w:t>file:///C:/Users/tsvet/OneDrive/Documents/Semester%206%20SIDA/1-s2.0-S2515856220300122-main.pdf</w:t>
        </w:r>
      </w:hyperlink>
    </w:p>
    <w:p w:rsidR="210937BC" w:rsidP="210937BC" w:rsidRDefault="210937BC" w14:paraId="419EAD40" w14:textId="387DC5EE">
      <w:pPr>
        <w:spacing w:before="240" w:after="240"/>
        <w:rPr>
          <w:rFonts w:eastAsia="Arial" w:cs="Arial"/>
        </w:rPr>
      </w:pPr>
    </w:p>
    <w:p w:rsidR="21A37AF6" w:rsidP="210937BC" w:rsidRDefault="21A37AF6" w14:paraId="27D15944" w14:textId="2BE1263F">
      <w:pPr>
        <w:spacing w:before="240" w:after="240"/>
        <w:rPr>
          <w:rFonts w:eastAsia="Arial" w:cs="Arial"/>
        </w:rPr>
      </w:pPr>
      <w:hyperlink r:id="rId37">
        <w:r w:rsidRPr="210937BC">
          <w:rPr>
            <w:rStyle w:val="Hyperlink"/>
          </w:rPr>
          <w:t>https://www3.weforum.org/docs/WEF_Governing_Smart_Cities_2021.pdf</w:t>
        </w:r>
      </w:hyperlink>
    </w:p>
    <w:p w:rsidRPr="00CA10D6" w:rsidR="007628B0" w:rsidP="649A2132" w:rsidRDefault="007628B0" w14:paraId="02555ECB" w14:textId="528E9221"/>
    <w:sectPr w:rsidRPr="00CA10D6" w:rsidR="007628B0" w:rsidSect="00D95E7D">
      <w:headerReference w:type="default" r:id="rId38"/>
      <w:footerReference w:type="default" r:id="rId39"/>
      <w:headerReference w:type="first" r:id="rId40"/>
      <w:footerReference w:type="first" r:id="rId41"/>
      <w:pgSz w:w="11906" w:h="16838" w:orient="portrait"/>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E1D06" w:rsidP="0081774A" w:rsidRDefault="00EE1D06" w14:paraId="441851C4" w14:textId="77777777">
      <w:pPr>
        <w:spacing w:after="0" w:line="240" w:lineRule="auto"/>
      </w:pPr>
      <w:r>
        <w:separator/>
      </w:r>
    </w:p>
  </w:endnote>
  <w:endnote w:type="continuationSeparator" w:id="0">
    <w:p w:rsidR="00EE1D06" w:rsidP="0081774A" w:rsidRDefault="00EE1D06" w14:paraId="17020E3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9564705"/>
      <w:docPartObj>
        <w:docPartGallery w:val="Page Numbers (Bottom of Page)"/>
        <w:docPartUnique/>
      </w:docPartObj>
    </w:sdtPr>
    <w:sdtEndPr>
      <w:rPr>
        <w:noProof/>
      </w:rPr>
    </w:sdtEndPr>
    <w:sdtContent>
      <w:p w:rsidR="0081774A" w:rsidRDefault="0081774A" w14:paraId="49EC4195" w14:textId="72DD327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81774A" w:rsidRDefault="0081774A" w14:paraId="64F79B9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005A5284" w:rsidTr="617319DD" w14:paraId="222AA8B8" w14:textId="77777777">
      <w:trPr>
        <w:trHeight w:val="300"/>
      </w:trPr>
      <w:tc>
        <w:tcPr>
          <w:tcW w:w="3005" w:type="dxa"/>
        </w:tcPr>
        <w:p w:rsidR="617319DD" w:rsidP="617319DD" w:rsidRDefault="617319DD" w14:paraId="17F12E8D" w14:textId="50C612EA">
          <w:pPr>
            <w:pStyle w:val="Header"/>
            <w:ind w:left="-115"/>
          </w:pPr>
        </w:p>
      </w:tc>
      <w:tc>
        <w:tcPr>
          <w:tcW w:w="3005" w:type="dxa"/>
        </w:tcPr>
        <w:p w:rsidR="617319DD" w:rsidP="617319DD" w:rsidRDefault="617319DD" w14:paraId="1BD68BFB" w14:textId="22DBD85D">
          <w:pPr>
            <w:pStyle w:val="Header"/>
            <w:jc w:val="center"/>
          </w:pPr>
        </w:p>
      </w:tc>
      <w:tc>
        <w:tcPr>
          <w:tcW w:w="3005" w:type="dxa"/>
        </w:tcPr>
        <w:p w:rsidR="617319DD" w:rsidP="617319DD" w:rsidRDefault="617319DD" w14:paraId="12F620A3" w14:textId="3173B68A">
          <w:pPr>
            <w:pStyle w:val="Header"/>
            <w:ind w:right="-115"/>
            <w:jc w:val="right"/>
          </w:pPr>
        </w:p>
      </w:tc>
    </w:tr>
  </w:tbl>
  <w:p w:rsidR="00213673" w:rsidRDefault="00213673" w14:paraId="0452F4C7" w14:textId="2B7AF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E1D06" w:rsidP="0081774A" w:rsidRDefault="00EE1D06" w14:paraId="36A521B3" w14:textId="77777777">
      <w:pPr>
        <w:spacing w:after="0" w:line="240" w:lineRule="auto"/>
      </w:pPr>
      <w:r>
        <w:separator/>
      </w:r>
    </w:p>
  </w:footnote>
  <w:footnote w:type="continuationSeparator" w:id="0">
    <w:p w:rsidR="00EE1D06" w:rsidP="0081774A" w:rsidRDefault="00EE1D06" w14:paraId="4D4E6DDF"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009A3A85" w:rsidTr="617319DD" w14:paraId="66F0D875" w14:textId="77777777">
      <w:trPr>
        <w:trHeight w:val="300"/>
      </w:trPr>
      <w:tc>
        <w:tcPr>
          <w:tcW w:w="3005" w:type="dxa"/>
        </w:tcPr>
        <w:p w:rsidR="617319DD" w:rsidP="617319DD" w:rsidRDefault="617319DD" w14:paraId="67354241" w14:textId="10373B5D">
          <w:pPr>
            <w:pStyle w:val="Header"/>
            <w:ind w:left="-115"/>
          </w:pPr>
        </w:p>
      </w:tc>
      <w:tc>
        <w:tcPr>
          <w:tcW w:w="3005" w:type="dxa"/>
        </w:tcPr>
        <w:p w:rsidR="617319DD" w:rsidP="617319DD" w:rsidRDefault="617319DD" w14:paraId="78F46189" w14:textId="3FE99269">
          <w:pPr>
            <w:pStyle w:val="Header"/>
            <w:jc w:val="center"/>
          </w:pPr>
        </w:p>
      </w:tc>
      <w:tc>
        <w:tcPr>
          <w:tcW w:w="3005" w:type="dxa"/>
        </w:tcPr>
        <w:p w:rsidR="617319DD" w:rsidP="617319DD" w:rsidRDefault="617319DD" w14:paraId="327B11FB" w14:textId="5570EC15">
          <w:pPr>
            <w:pStyle w:val="Header"/>
            <w:ind w:right="-115"/>
            <w:jc w:val="right"/>
          </w:pPr>
        </w:p>
      </w:tc>
    </w:tr>
  </w:tbl>
  <w:p w:rsidR="00213673" w:rsidRDefault="00213673" w14:paraId="515FA3C1" w14:textId="00CBA7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005A5284" w:rsidTr="617319DD" w14:paraId="7DF9A840" w14:textId="77777777">
      <w:trPr>
        <w:trHeight w:val="300"/>
      </w:trPr>
      <w:tc>
        <w:tcPr>
          <w:tcW w:w="3005" w:type="dxa"/>
        </w:tcPr>
        <w:p w:rsidR="617319DD" w:rsidP="617319DD" w:rsidRDefault="617319DD" w14:paraId="6BD5A608" w14:textId="743C0A13">
          <w:pPr>
            <w:pStyle w:val="Header"/>
            <w:ind w:left="-115"/>
          </w:pPr>
        </w:p>
      </w:tc>
      <w:tc>
        <w:tcPr>
          <w:tcW w:w="3005" w:type="dxa"/>
        </w:tcPr>
        <w:p w:rsidR="617319DD" w:rsidP="617319DD" w:rsidRDefault="617319DD" w14:paraId="5E8DE6CE" w14:textId="7BFCD9C6">
          <w:pPr>
            <w:pStyle w:val="Header"/>
            <w:jc w:val="center"/>
          </w:pPr>
        </w:p>
      </w:tc>
      <w:tc>
        <w:tcPr>
          <w:tcW w:w="3005" w:type="dxa"/>
        </w:tcPr>
        <w:p w:rsidR="617319DD" w:rsidP="617319DD" w:rsidRDefault="617319DD" w14:paraId="201845E8" w14:textId="384F42EF">
          <w:pPr>
            <w:pStyle w:val="Header"/>
            <w:ind w:right="-115"/>
            <w:jc w:val="right"/>
          </w:pPr>
        </w:p>
      </w:tc>
    </w:tr>
  </w:tbl>
  <w:p w:rsidR="00213673" w:rsidRDefault="00213673" w14:paraId="0AA1BA25" w14:textId="444634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E1305"/>
    <w:multiLevelType w:val="multilevel"/>
    <w:tmpl w:val="CFE88F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B51943"/>
    <w:multiLevelType w:val="multilevel"/>
    <w:tmpl w:val="933AB6F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151512"/>
    <w:multiLevelType w:val="multilevel"/>
    <w:tmpl w:val="10E47F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0D9F3954"/>
    <w:multiLevelType w:val="hybridMultilevel"/>
    <w:tmpl w:val="3A2632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002D24"/>
    <w:multiLevelType w:val="multilevel"/>
    <w:tmpl w:val="DE6215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14FB250E"/>
    <w:multiLevelType w:val="hybridMultilevel"/>
    <w:tmpl w:val="67361D46"/>
    <w:lvl w:ilvl="0" w:tplc="80BE58C2">
      <w:start w:val="1"/>
      <w:numFmt w:val="bullet"/>
      <w:lvlText w:val="•"/>
      <w:lvlJc w:val="left"/>
      <w:pPr>
        <w:tabs>
          <w:tab w:val="num" w:pos="720"/>
        </w:tabs>
        <w:ind w:left="720" w:hanging="360"/>
      </w:pPr>
      <w:rPr>
        <w:rFonts w:hint="default" w:ascii="Arial" w:hAnsi="Arial"/>
      </w:rPr>
    </w:lvl>
    <w:lvl w:ilvl="1" w:tplc="5E34565A" w:tentative="1">
      <w:start w:val="1"/>
      <w:numFmt w:val="bullet"/>
      <w:lvlText w:val="•"/>
      <w:lvlJc w:val="left"/>
      <w:pPr>
        <w:tabs>
          <w:tab w:val="num" w:pos="1440"/>
        </w:tabs>
        <w:ind w:left="1440" w:hanging="360"/>
      </w:pPr>
      <w:rPr>
        <w:rFonts w:hint="default" w:ascii="Arial" w:hAnsi="Arial"/>
      </w:rPr>
    </w:lvl>
    <w:lvl w:ilvl="2" w:tplc="265C0140" w:tentative="1">
      <w:start w:val="1"/>
      <w:numFmt w:val="bullet"/>
      <w:lvlText w:val="•"/>
      <w:lvlJc w:val="left"/>
      <w:pPr>
        <w:tabs>
          <w:tab w:val="num" w:pos="2160"/>
        </w:tabs>
        <w:ind w:left="2160" w:hanging="360"/>
      </w:pPr>
      <w:rPr>
        <w:rFonts w:hint="default" w:ascii="Arial" w:hAnsi="Arial"/>
      </w:rPr>
    </w:lvl>
    <w:lvl w:ilvl="3" w:tplc="6F6ACB0E" w:tentative="1">
      <w:start w:val="1"/>
      <w:numFmt w:val="bullet"/>
      <w:lvlText w:val="•"/>
      <w:lvlJc w:val="left"/>
      <w:pPr>
        <w:tabs>
          <w:tab w:val="num" w:pos="2880"/>
        </w:tabs>
        <w:ind w:left="2880" w:hanging="360"/>
      </w:pPr>
      <w:rPr>
        <w:rFonts w:hint="default" w:ascii="Arial" w:hAnsi="Arial"/>
      </w:rPr>
    </w:lvl>
    <w:lvl w:ilvl="4" w:tplc="71507552" w:tentative="1">
      <w:start w:val="1"/>
      <w:numFmt w:val="bullet"/>
      <w:lvlText w:val="•"/>
      <w:lvlJc w:val="left"/>
      <w:pPr>
        <w:tabs>
          <w:tab w:val="num" w:pos="3600"/>
        </w:tabs>
        <w:ind w:left="3600" w:hanging="360"/>
      </w:pPr>
      <w:rPr>
        <w:rFonts w:hint="default" w:ascii="Arial" w:hAnsi="Arial"/>
      </w:rPr>
    </w:lvl>
    <w:lvl w:ilvl="5" w:tplc="5FE664B4" w:tentative="1">
      <w:start w:val="1"/>
      <w:numFmt w:val="bullet"/>
      <w:lvlText w:val="•"/>
      <w:lvlJc w:val="left"/>
      <w:pPr>
        <w:tabs>
          <w:tab w:val="num" w:pos="4320"/>
        </w:tabs>
        <w:ind w:left="4320" w:hanging="360"/>
      </w:pPr>
      <w:rPr>
        <w:rFonts w:hint="default" w:ascii="Arial" w:hAnsi="Arial"/>
      </w:rPr>
    </w:lvl>
    <w:lvl w:ilvl="6" w:tplc="B282D604" w:tentative="1">
      <w:start w:val="1"/>
      <w:numFmt w:val="bullet"/>
      <w:lvlText w:val="•"/>
      <w:lvlJc w:val="left"/>
      <w:pPr>
        <w:tabs>
          <w:tab w:val="num" w:pos="5040"/>
        </w:tabs>
        <w:ind w:left="5040" w:hanging="360"/>
      </w:pPr>
      <w:rPr>
        <w:rFonts w:hint="default" w:ascii="Arial" w:hAnsi="Arial"/>
      </w:rPr>
    </w:lvl>
    <w:lvl w:ilvl="7" w:tplc="057816A2" w:tentative="1">
      <w:start w:val="1"/>
      <w:numFmt w:val="bullet"/>
      <w:lvlText w:val="•"/>
      <w:lvlJc w:val="left"/>
      <w:pPr>
        <w:tabs>
          <w:tab w:val="num" w:pos="5760"/>
        </w:tabs>
        <w:ind w:left="5760" w:hanging="360"/>
      </w:pPr>
      <w:rPr>
        <w:rFonts w:hint="default" w:ascii="Arial" w:hAnsi="Arial"/>
      </w:rPr>
    </w:lvl>
    <w:lvl w:ilvl="8" w:tplc="96C22644" w:tentative="1">
      <w:start w:val="1"/>
      <w:numFmt w:val="bullet"/>
      <w:lvlText w:val="•"/>
      <w:lvlJc w:val="left"/>
      <w:pPr>
        <w:tabs>
          <w:tab w:val="num" w:pos="6480"/>
        </w:tabs>
        <w:ind w:left="6480" w:hanging="360"/>
      </w:pPr>
      <w:rPr>
        <w:rFonts w:hint="default" w:ascii="Arial" w:hAnsi="Arial"/>
      </w:rPr>
    </w:lvl>
  </w:abstractNum>
  <w:abstractNum w:abstractNumId="6" w15:restartNumberingAfterBreak="0">
    <w:nsid w:val="17985E64"/>
    <w:multiLevelType w:val="multilevel"/>
    <w:tmpl w:val="CAF83C7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17E033DE"/>
    <w:multiLevelType w:val="multilevel"/>
    <w:tmpl w:val="F612A0B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18193C8F"/>
    <w:multiLevelType w:val="hybridMultilevel"/>
    <w:tmpl w:val="E976E232"/>
    <w:lvl w:ilvl="0" w:tplc="10000001">
      <w:start w:val="1"/>
      <w:numFmt w:val="bullet"/>
      <w:lvlText w:val=""/>
      <w:lvlJc w:val="left"/>
      <w:pPr>
        <w:ind w:left="720" w:hanging="360"/>
      </w:pPr>
      <w:rPr>
        <w:rFonts w:hint="default" w:ascii="Symbol" w:hAnsi="Symbol"/>
      </w:rPr>
    </w:lvl>
    <w:lvl w:ilvl="1" w:tplc="10000003" w:tentative="1">
      <w:start w:val="1"/>
      <w:numFmt w:val="bullet"/>
      <w:lvlText w:val="o"/>
      <w:lvlJc w:val="left"/>
      <w:pPr>
        <w:ind w:left="1440" w:hanging="360"/>
      </w:pPr>
      <w:rPr>
        <w:rFonts w:hint="default" w:ascii="Courier New" w:hAnsi="Courier New" w:cs="Courier New"/>
      </w:rPr>
    </w:lvl>
    <w:lvl w:ilvl="2" w:tplc="10000005" w:tentative="1">
      <w:start w:val="1"/>
      <w:numFmt w:val="bullet"/>
      <w:lvlText w:val=""/>
      <w:lvlJc w:val="left"/>
      <w:pPr>
        <w:ind w:left="2160" w:hanging="360"/>
      </w:pPr>
      <w:rPr>
        <w:rFonts w:hint="default" w:ascii="Wingdings" w:hAnsi="Wingdings"/>
      </w:rPr>
    </w:lvl>
    <w:lvl w:ilvl="3" w:tplc="10000001" w:tentative="1">
      <w:start w:val="1"/>
      <w:numFmt w:val="bullet"/>
      <w:lvlText w:val=""/>
      <w:lvlJc w:val="left"/>
      <w:pPr>
        <w:ind w:left="2880" w:hanging="360"/>
      </w:pPr>
      <w:rPr>
        <w:rFonts w:hint="default" w:ascii="Symbol" w:hAnsi="Symbol"/>
      </w:rPr>
    </w:lvl>
    <w:lvl w:ilvl="4" w:tplc="10000003" w:tentative="1">
      <w:start w:val="1"/>
      <w:numFmt w:val="bullet"/>
      <w:lvlText w:val="o"/>
      <w:lvlJc w:val="left"/>
      <w:pPr>
        <w:ind w:left="3600" w:hanging="360"/>
      </w:pPr>
      <w:rPr>
        <w:rFonts w:hint="default" w:ascii="Courier New" w:hAnsi="Courier New" w:cs="Courier New"/>
      </w:rPr>
    </w:lvl>
    <w:lvl w:ilvl="5" w:tplc="10000005" w:tentative="1">
      <w:start w:val="1"/>
      <w:numFmt w:val="bullet"/>
      <w:lvlText w:val=""/>
      <w:lvlJc w:val="left"/>
      <w:pPr>
        <w:ind w:left="4320" w:hanging="360"/>
      </w:pPr>
      <w:rPr>
        <w:rFonts w:hint="default" w:ascii="Wingdings" w:hAnsi="Wingdings"/>
      </w:rPr>
    </w:lvl>
    <w:lvl w:ilvl="6" w:tplc="10000001" w:tentative="1">
      <w:start w:val="1"/>
      <w:numFmt w:val="bullet"/>
      <w:lvlText w:val=""/>
      <w:lvlJc w:val="left"/>
      <w:pPr>
        <w:ind w:left="5040" w:hanging="360"/>
      </w:pPr>
      <w:rPr>
        <w:rFonts w:hint="default" w:ascii="Symbol" w:hAnsi="Symbol"/>
      </w:rPr>
    </w:lvl>
    <w:lvl w:ilvl="7" w:tplc="10000003" w:tentative="1">
      <w:start w:val="1"/>
      <w:numFmt w:val="bullet"/>
      <w:lvlText w:val="o"/>
      <w:lvlJc w:val="left"/>
      <w:pPr>
        <w:ind w:left="5760" w:hanging="360"/>
      </w:pPr>
      <w:rPr>
        <w:rFonts w:hint="default" w:ascii="Courier New" w:hAnsi="Courier New" w:cs="Courier New"/>
      </w:rPr>
    </w:lvl>
    <w:lvl w:ilvl="8" w:tplc="10000005" w:tentative="1">
      <w:start w:val="1"/>
      <w:numFmt w:val="bullet"/>
      <w:lvlText w:val=""/>
      <w:lvlJc w:val="left"/>
      <w:pPr>
        <w:ind w:left="6480" w:hanging="360"/>
      </w:pPr>
      <w:rPr>
        <w:rFonts w:hint="default" w:ascii="Wingdings" w:hAnsi="Wingdings"/>
      </w:rPr>
    </w:lvl>
  </w:abstractNum>
  <w:abstractNum w:abstractNumId="9" w15:restartNumberingAfterBreak="0">
    <w:nsid w:val="1B821246"/>
    <w:multiLevelType w:val="multilevel"/>
    <w:tmpl w:val="70AA87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B8A3969"/>
    <w:multiLevelType w:val="multilevel"/>
    <w:tmpl w:val="4FA25A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217D6972"/>
    <w:multiLevelType w:val="multilevel"/>
    <w:tmpl w:val="0D6654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23134017"/>
    <w:multiLevelType w:val="hybridMultilevel"/>
    <w:tmpl w:val="C56C454A"/>
    <w:lvl w:ilvl="0" w:tplc="1000000F">
      <w:start w:val="8"/>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3" w15:restartNumberingAfterBreak="0">
    <w:nsid w:val="23441B7A"/>
    <w:multiLevelType w:val="multilevel"/>
    <w:tmpl w:val="AFE694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69149E0"/>
    <w:multiLevelType w:val="hybridMultilevel"/>
    <w:tmpl w:val="B9D6BCF6"/>
    <w:lvl w:ilvl="0" w:tplc="10000001">
      <w:start w:val="1"/>
      <w:numFmt w:val="bullet"/>
      <w:lvlText w:val=""/>
      <w:lvlJc w:val="left"/>
      <w:pPr>
        <w:ind w:left="720" w:hanging="360"/>
      </w:pPr>
      <w:rPr>
        <w:rFonts w:hint="default" w:ascii="Symbol" w:hAnsi="Symbol"/>
      </w:rPr>
    </w:lvl>
    <w:lvl w:ilvl="1" w:tplc="10000003" w:tentative="1">
      <w:start w:val="1"/>
      <w:numFmt w:val="bullet"/>
      <w:lvlText w:val="o"/>
      <w:lvlJc w:val="left"/>
      <w:pPr>
        <w:ind w:left="1440" w:hanging="360"/>
      </w:pPr>
      <w:rPr>
        <w:rFonts w:hint="default" w:ascii="Courier New" w:hAnsi="Courier New" w:cs="Courier New"/>
      </w:rPr>
    </w:lvl>
    <w:lvl w:ilvl="2" w:tplc="10000005" w:tentative="1">
      <w:start w:val="1"/>
      <w:numFmt w:val="bullet"/>
      <w:lvlText w:val=""/>
      <w:lvlJc w:val="left"/>
      <w:pPr>
        <w:ind w:left="2160" w:hanging="360"/>
      </w:pPr>
      <w:rPr>
        <w:rFonts w:hint="default" w:ascii="Wingdings" w:hAnsi="Wingdings"/>
      </w:rPr>
    </w:lvl>
    <w:lvl w:ilvl="3" w:tplc="10000001" w:tentative="1">
      <w:start w:val="1"/>
      <w:numFmt w:val="bullet"/>
      <w:lvlText w:val=""/>
      <w:lvlJc w:val="left"/>
      <w:pPr>
        <w:ind w:left="2880" w:hanging="360"/>
      </w:pPr>
      <w:rPr>
        <w:rFonts w:hint="default" w:ascii="Symbol" w:hAnsi="Symbol"/>
      </w:rPr>
    </w:lvl>
    <w:lvl w:ilvl="4" w:tplc="10000003" w:tentative="1">
      <w:start w:val="1"/>
      <w:numFmt w:val="bullet"/>
      <w:lvlText w:val="o"/>
      <w:lvlJc w:val="left"/>
      <w:pPr>
        <w:ind w:left="3600" w:hanging="360"/>
      </w:pPr>
      <w:rPr>
        <w:rFonts w:hint="default" w:ascii="Courier New" w:hAnsi="Courier New" w:cs="Courier New"/>
      </w:rPr>
    </w:lvl>
    <w:lvl w:ilvl="5" w:tplc="10000005" w:tentative="1">
      <w:start w:val="1"/>
      <w:numFmt w:val="bullet"/>
      <w:lvlText w:val=""/>
      <w:lvlJc w:val="left"/>
      <w:pPr>
        <w:ind w:left="4320" w:hanging="360"/>
      </w:pPr>
      <w:rPr>
        <w:rFonts w:hint="default" w:ascii="Wingdings" w:hAnsi="Wingdings"/>
      </w:rPr>
    </w:lvl>
    <w:lvl w:ilvl="6" w:tplc="10000001" w:tentative="1">
      <w:start w:val="1"/>
      <w:numFmt w:val="bullet"/>
      <w:lvlText w:val=""/>
      <w:lvlJc w:val="left"/>
      <w:pPr>
        <w:ind w:left="5040" w:hanging="360"/>
      </w:pPr>
      <w:rPr>
        <w:rFonts w:hint="default" w:ascii="Symbol" w:hAnsi="Symbol"/>
      </w:rPr>
    </w:lvl>
    <w:lvl w:ilvl="7" w:tplc="10000003" w:tentative="1">
      <w:start w:val="1"/>
      <w:numFmt w:val="bullet"/>
      <w:lvlText w:val="o"/>
      <w:lvlJc w:val="left"/>
      <w:pPr>
        <w:ind w:left="5760" w:hanging="360"/>
      </w:pPr>
      <w:rPr>
        <w:rFonts w:hint="default" w:ascii="Courier New" w:hAnsi="Courier New" w:cs="Courier New"/>
      </w:rPr>
    </w:lvl>
    <w:lvl w:ilvl="8" w:tplc="10000005" w:tentative="1">
      <w:start w:val="1"/>
      <w:numFmt w:val="bullet"/>
      <w:lvlText w:val=""/>
      <w:lvlJc w:val="left"/>
      <w:pPr>
        <w:ind w:left="6480" w:hanging="360"/>
      </w:pPr>
      <w:rPr>
        <w:rFonts w:hint="default" w:ascii="Wingdings" w:hAnsi="Wingdings"/>
      </w:rPr>
    </w:lvl>
  </w:abstractNum>
  <w:abstractNum w:abstractNumId="15" w15:restartNumberingAfterBreak="0">
    <w:nsid w:val="2B121B38"/>
    <w:multiLevelType w:val="multilevel"/>
    <w:tmpl w:val="EEA4AE2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2BDD05E9"/>
    <w:multiLevelType w:val="multilevel"/>
    <w:tmpl w:val="CFE88F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EC275D6"/>
    <w:multiLevelType w:val="multilevel"/>
    <w:tmpl w:val="A8F668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10F4BE0"/>
    <w:multiLevelType w:val="multilevel"/>
    <w:tmpl w:val="2216EB9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1B76DB9"/>
    <w:multiLevelType w:val="multilevel"/>
    <w:tmpl w:val="36A22BF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32035B53"/>
    <w:multiLevelType w:val="multilevel"/>
    <w:tmpl w:val="A432A30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34317D40"/>
    <w:multiLevelType w:val="multilevel"/>
    <w:tmpl w:val="877E538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6273606"/>
    <w:multiLevelType w:val="multilevel"/>
    <w:tmpl w:val="12EE8876"/>
    <w:lvl w:ilvl="0">
      <w:start w:val="1"/>
      <w:numFmt w:val="decimal"/>
      <w:lvlText w:val="%1."/>
      <w:lvlJc w:val="left"/>
      <w:pPr>
        <w:tabs>
          <w:tab w:val="num" w:pos="709"/>
        </w:tabs>
        <w:ind w:left="709" w:hanging="709"/>
      </w:pPr>
      <w:rPr>
        <w:rFonts w:hint="default" w:ascii="Arial" w:hAnsi="Arial"/>
        <w:b/>
        <w:i w:val="0"/>
        <w:sz w:val="32"/>
        <w:szCs w:val="24"/>
      </w:rPr>
    </w:lvl>
    <w:lvl w:ilvl="1">
      <w:start w:val="1"/>
      <w:numFmt w:val="decimal"/>
      <w:lvlText w:val="%1.%2"/>
      <w:lvlJc w:val="left"/>
      <w:pPr>
        <w:tabs>
          <w:tab w:val="num" w:pos="709"/>
        </w:tabs>
        <w:ind w:left="709" w:hanging="709"/>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1942"/>
        </w:tabs>
        <w:ind w:left="1870" w:hanging="648"/>
      </w:pPr>
      <w:rPr>
        <w:rFonts w:hint="default"/>
      </w:rPr>
    </w:lvl>
    <w:lvl w:ilvl="4">
      <w:start w:val="1"/>
      <w:numFmt w:val="decimal"/>
      <w:lvlText w:val="%1.%2.%3.%4.%5."/>
      <w:lvlJc w:val="left"/>
      <w:pPr>
        <w:tabs>
          <w:tab w:val="num" w:pos="2662"/>
        </w:tabs>
        <w:ind w:left="2374" w:hanging="792"/>
      </w:pPr>
      <w:rPr>
        <w:rFonts w:hint="default"/>
      </w:rPr>
    </w:lvl>
    <w:lvl w:ilvl="5">
      <w:start w:val="1"/>
      <w:numFmt w:val="decimal"/>
      <w:lvlText w:val="%1.%2.%3.%4.%5.%6."/>
      <w:lvlJc w:val="left"/>
      <w:pPr>
        <w:tabs>
          <w:tab w:val="num" w:pos="3022"/>
        </w:tabs>
        <w:ind w:left="2878" w:hanging="936"/>
      </w:pPr>
      <w:rPr>
        <w:rFonts w:hint="default"/>
      </w:rPr>
    </w:lvl>
    <w:lvl w:ilvl="6">
      <w:start w:val="1"/>
      <w:numFmt w:val="decimal"/>
      <w:lvlText w:val="%1.%2.%3.%4.%5.%6.%7."/>
      <w:lvlJc w:val="left"/>
      <w:pPr>
        <w:tabs>
          <w:tab w:val="num" w:pos="3742"/>
        </w:tabs>
        <w:ind w:left="3382" w:hanging="1080"/>
      </w:pPr>
      <w:rPr>
        <w:rFonts w:hint="default"/>
      </w:rPr>
    </w:lvl>
    <w:lvl w:ilvl="7">
      <w:start w:val="1"/>
      <w:numFmt w:val="decimal"/>
      <w:lvlText w:val="%1.%2.%3.%4.%5.%6.%7.%8."/>
      <w:lvlJc w:val="left"/>
      <w:pPr>
        <w:tabs>
          <w:tab w:val="num" w:pos="4102"/>
        </w:tabs>
        <w:ind w:left="3886" w:hanging="1224"/>
      </w:pPr>
      <w:rPr>
        <w:rFonts w:hint="default"/>
      </w:rPr>
    </w:lvl>
    <w:lvl w:ilvl="8">
      <w:start w:val="1"/>
      <w:numFmt w:val="decimal"/>
      <w:lvlText w:val="%1.%2.%3.%4.%5.%6.%7.%8.%9."/>
      <w:lvlJc w:val="left"/>
      <w:pPr>
        <w:tabs>
          <w:tab w:val="num" w:pos="4822"/>
        </w:tabs>
        <w:ind w:left="4462" w:hanging="1440"/>
      </w:pPr>
      <w:rPr>
        <w:rFonts w:hint="default"/>
      </w:rPr>
    </w:lvl>
  </w:abstractNum>
  <w:abstractNum w:abstractNumId="23" w15:restartNumberingAfterBreak="0">
    <w:nsid w:val="3A051CB9"/>
    <w:multiLevelType w:val="multilevel"/>
    <w:tmpl w:val="3A8800E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D4A6E02"/>
    <w:multiLevelType w:val="multilevel"/>
    <w:tmpl w:val="3A24F85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20740AF"/>
    <w:multiLevelType w:val="multilevel"/>
    <w:tmpl w:val="9C42FC1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 w15:restartNumberingAfterBreak="0">
    <w:nsid w:val="4C4F4363"/>
    <w:multiLevelType w:val="multilevel"/>
    <w:tmpl w:val="EFECAED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 w15:restartNumberingAfterBreak="0">
    <w:nsid w:val="4CEF38B9"/>
    <w:multiLevelType w:val="multilevel"/>
    <w:tmpl w:val="B6D0C64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 w15:restartNumberingAfterBreak="0">
    <w:nsid w:val="50A76332"/>
    <w:multiLevelType w:val="multilevel"/>
    <w:tmpl w:val="600ABA3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 w15:restartNumberingAfterBreak="0">
    <w:nsid w:val="512407EB"/>
    <w:multiLevelType w:val="multilevel"/>
    <w:tmpl w:val="DB5C0B9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0" w15:restartNumberingAfterBreak="0">
    <w:nsid w:val="52FD7CD6"/>
    <w:multiLevelType w:val="multilevel"/>
    <w:tmpl w:val="F1C479C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1" w15:restartNumberingAfterBreak="0">
    <w:nsid w:val="536518D4"/>
    <w:multiLevelType w:val="multilevel"/>
    <w:tmpl w:val="56C41BF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2" w15:restartNumberingAfterBreak="0">
    <w:nsid w:val="55E455F3"/>
    <w:multiLevelType w:val="multilevel"/>
    <w:tmpl w:val="0542F27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3" w15:restartNumberingAfterBreak="0">
    <w:nsid w:val="5D6A6E37"/>
    <w:multiLevelType w:val="hybridMultilevel"/>
    <w:tmpl w:val="1A327434"/>
    <w:lvl w:ilvl="0" w:tplc="10000001">
      <w:start w:val="1"/>
      <w:numFmt w:val="bullet"/>
      <w:lvlText w:val=""/>
      <w:lvlJc w:val="left"/>
      <w:pPr>
        <w:ind w:left="720" w:hanging="360"/>
      </w:pPr>
      <w:rPr>
        <w:rFonts w:hint="default" w:ascii="Symbol" w:hAnsi="Symbol"/>
      </w:rPr>
    </w:lvl>
    <w:lvl w:ilvl="1" w:tplc="10000003" w:tentative="1">
      <w:start w:val="1"/>
      <w:numFmt w:val="bullet"/>
      <w:lvlText w:val="o"/>
      <w:lvlJc w:val="left"/>
      <w:pPr>
        <w:ind w:left="1440" w:hanging="360"/>
      </w:pPr>
      <w:rPr>
        <w:rFonts w:hint="default" w:ascii="Courier New" w:hAnsi="Courier New" w:cs="Courier New"/>
      </w:rPr>
    </w:lvl>
    <w:lvl w:ilvl="2" w:tplc="10000005" w:tentative="1">
      <w:start w:val="1"/>
      <w:numFmt w:val="bullet"/>
      <w:lvlText w:val=""/>
      <w:lvlJc w:val="left"/>
      <w:pPr>
        <w:ind w:left="2160" w:hanging="360"/>
      </w:pPr>
      <w:rPr>
        <w:rFonts w:hint="default" w:ascii="Wingdings" w:hAnsi="Wingdings"/>
      </w:rPr>
    </w:lvl>
    <w:lvl w:ilvl="3" w:tplc="10000001" w:tentative="1">
      <w:start w:val="1"/>
      <w:numFmt w:val="bullet"/>
      <w:lvlText w:val=""/>
      <w:lvlJc w:val="left"/>
      <w:pPr>
        <w:ind w:left="2880" w:hanging="360"/>
      </w:pPr>
      <w:rPr>
        <w:rFonts w:hint="default" w:ascii="Symbol" w:hAnsi="Symbol"/>
      </w:rPr>
    </w:lvl>
    <w:lvl w:ilvl="4" w:tplc="10000003" w:tentative="1">
      <w:start w:val="1"/>
      <w:numFmt w:val="bullet"/>
      <w:lvlText w:val="o"/>
      <w:lvlJc w:val="left"/>
      <w:pPr>
        <w:ind w:left="3600" w:hanging="360"/>
      </w:pPr>
      <w:rPr>
        <w:rFonts w:hint="default" w:ascii="Courier New" w:hAnsi="Courier New" w:cs="Courier New"/>
      </w:rPr>
    </w:lvl>
    <w:lvl w:ilvl="5" w:tplc="10000005" w:tentative="1">
      <w:start w:val="1"/>
      <w:numFmt w:val="bullet"/>
      <w:lvlText w:val=""/>
      <w:lvlJc w:val="left"/>
      <w:pPr>
        <w:ind w:left="4320" w:hanging="360"/>
      </w:pPr>
      <w:rPr>
        <w:rFonts w:hint="default" w:ascii="Wingdings" w:hAnsi="Wingdings"/>
      </w:rPr>
    </w:lvl>
    <w:lvl w:ilvl="6" w:tplc="10000001" w:tentative="1">
      <w:start w:val="1"/>
      <w:numFmt w:val="bullet"/>
      <w:lvlText w:val=""/>
      <w:lvlJc w:val="left"/>
      <w:pPr>
        <w:ind w:left="5040" w:hanging="360"/>
      </w:pPr>
      <w:rPr>
        <w:rFonts w:hint="default" w:ascii="Symbol" w:hAnsi="Symbol"/>
      </w:rPr>
    </w:lvl>
    <w:lvl w:ilvl="7" w:tplc="10000003" w:tentative="1">
      <w:start w:val="1"/>
      <w:numFmt w:val="bullet"/>
      <w:lvlText w:val="o"/>
      <w:lvlJc w:val="left"/>
      <w:pPr>
        <w:ind w:left="5760" w:hanging="360"/>
      </w:pPr>
      <w:rPr>
        <w:rFonts w:hint="default" w:ascii="Courier New" w:hAnsi="Courier New" w:cs="Courier New"/>
      </w:rPr>
    </w:lvl>
    <w:lvl w:ilvl="8" w:tplc="10000005" w:tentative="1">
      <w:start w:val="1"/>
      <w:numFmt w:val="bullet"/>
      <w:lvlText w:val=""/>
      <w:lvlJc w:val="left"/>
      <w:pPr>
        <w:ind w:left="6480" w:hanging="360"/>
      </w:pPr>
      <w:rPr>
        <w:rFonts w:hint="default" w:ascii="Wingdings" w:hAnsi="Wingdings"/>
      </w:rPr>
    </w:lvl>
  </w:abstractNum>
  <w:abstractNum w:abstractNumId="34" w15:restartNumberingAfterBreak="0">
    <w:nsid w:val="5FEB0256"/>
    <w:multiLevelType w:val="multilevel"/>
    <w:tmpl w:val="B82ACD1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5" w15:restartNumberingAfterBreak="0">
    <w:nsid w:val="65442C2E"/>
    <w:multiLevelType w:val="multilevel"/>
    <w:tmpl w:val="1A0EE99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6" w15:restartNumberingAfterBreak="0">
    <w:nsid w:val="67FA35F3"/>
    <w:multiLevelType w:val="multilevel"/>
    <w:tmpl w:val="70AA87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85A064E"/>
    <w:multiLevelType w:val="multilevel"/>
    <w:tmpl w:val="01E6255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8" w15:restartNumberingAfterBreak="0">
    <w:nsid w:val="6A4E0059"/>
    <w:multiLevelType w:val="multilevel"/>
    <w:tmpl w:val="0E1805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9" w15:restartNumberingAfterBreak="0">
    <w:nsid w:val="6F136AF4"/>
    <w:multiLevelType w:val="hybridMultilevel"/>
    <w:tmpl w:val="09E015F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70D43A1C"/>
    <w:multiLevelType w:val="multilevel"/>
    <w:tmpl w:val="EFA405B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1970166"/>
    <w:multiLevelType w:val="multilevel"/>
    <w:tmpl w:val="90C42D8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2" w15:restartNumberingAfterBreak="0">
    <w:nsid w:val="72127CD3"/>
    <w:multiLevelType w:val="multilevel"/>
    <w:tmpl w:val="F70E88C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46B730B"/>
    <w:multiLevelType w:val="multilevel"/>
    <w:tmpl w:val="6F06A6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4" w15:restartNumberingAfterBreak="0">
    <w:nsid w:val="74CF7454"/>
    <w:multiLevelType w:val="hybridMultilevel"/>
    <w:tmpl w:val="02E2E830"/>
    <w:lvl w:ilvl="0" w:tplc="1AE075EA">
      <w:start w:val="1"/>
      <w:numFmt w:val="bullet"/>
      <w:lvlText w:val="•"/>
      <w:lvlJc w:val="left"/>
      <w:pPr>
        <w:ind w:left="720" w:hanging="360"/>
      </w:pPr>
    </w:lvl>
    <w:lvl w:ilvl="1" w:tplc="FF9E11B0">
      <w:numFmt w:val="decimal"/>
      <w:lvlText w:val=""/>
      <w:lvlJc w:val="left"/>
    </w:lvl>
    <w:lvl w:ilvl="2" w:tplc="F5AA2ECE">
      <w:numFmt w:val="decimal"/>
      <w:lvlText w:val=""/>
      <w:lvlJc w:val="left"/>
    </w:lvl>
    <w:lvl w:ilvl="3" w:tplc="E440E646">
      <w:numFmt w:val="decimal"/>
      <w:lvlText w:val=""/>
      <w:lvlJc w:val="left"/>
    </w:lvl>
    <w:lvl w:ilvl="4" w:tplc="A824D8D6">
      <w:numFmt w:val="decimal"/>
      <w:lvlText w:val=""/>
      <w:lvlJc w:val="left"/>
    </w:lvl>
    <w:lvl w:ilvl="5" w:tplc="1AA4835E">
      <w:numFmt w:val="decimal"/>
      <w:lvlText w:val=""/>
      <w:lvlJc w:val="left"/>
    </w:lvl>
    <w:lvl w:ilvl="6" w:tplc="11E86712">
      <w:numFmt w:val="decimal"/>
      <w:lvlText w:val=""/>
      <w:lvlJc w:val="left"/>
    </w:lvl>
    <w:lvl w:ilvl="7" w:tplc="ACB64868">
      <w:numFmt w:val="decimal"/>
      <w:lvlText w:val=""/>
      <w:lvlJc w:val="left"/>
    </w:lvl>
    <w:lvl w:ilvl="8" w:tplc="49244C98">
      <w:numFmt w:val="decimal"/>
      <w:lvlText w:val=""/>
      <w:lvlJc w:val="left"/>
    </w:lvl>
  </w:abstractNum>
  <w:abstractNum w:abstractNumId="45" w15:restartNumberingAfterBreak="0">
    <w:nsid w:val="7671250D"/>
    <w:multiLevelType w:val="multilevel"/>
    <w:tmpl w:val="14FA0E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6" w15:restartNumberingAfterBreak="0">
    <w:nsid w:val="799E7671"/>
    <w:multiLevelType w:val="multilevel"/>
    <w:tmpl w:val="53B82A1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7" w15:restartNumberingAfterBreak="0">
    <w:nsid w:val="7C2F2209"/>
    <w:multiLevelType w:val="hybridMultilevel"/>
    <w:tmpl w:val="FFFFFFFF"/>
    <w:lvl w:ilvl="0" w:tplc="1AC0A3A2">
      <w:start w:val="1"/>
      <w:numFmt w:val="decimal"/>
      <w:lvlText w:val="%1."/>
      <w:lvlJc w:val="left"/>
      <w:pPr>
        <w:ind w:left="720" w:hanging="360"/>
      </w:pPr>
    </w:lvl>
    <w:lvl w:ilvl="1" w:tplc="E5522D98">
      <w:start w:val="1"/>
      <w:numFmt w:val="lowerLetter"/>
      <w:lvlText w:val="%2."/>
      <w:lvlJc w:val="left"/>
      <w:pPr>
        <w:ind w:left="1440" w:hanging="360"/>
      </w:pPr>
    </w:lvl>
    <w:lvl w:ilvl="2" w:tplc="68FA99DC">
      <w:start w:val="1"/>
      <w:numFmt w:val="lowerRoman"/>
      <w:lvlText w:val="%3."/>
      <w:lvlJc w:val="right"/>
      <w:pPr>
        <w:ind w:left="2160" w:hanging="180"/>
      </w:pPr>
    </w:lvl>
    <w:lvl w:ilvl="3" w:tplc="F170E6E8">
      <w:start w:val="1"/>
      <w:numFmt w:val="decimal"/>
      <w:lvlText w:val="%4."/>
      <w:lvlJc w:val="left"/>
      <w:pPr>
        <w:ind w:left="2880" w:hanging="360"/>
      </w:pPr>
    </w:lvl>
    <w:lvl w:ilvl="4" w:tplc="08E0C78E">
      <w:start w:val="1"/>
      <w:numFmt w:val="lowerLetter"/>
      <w:lvlText w:val="%5."/>
      <w:lvlJc w:val="left"/>
      <w:pPr>
        <w:ind w:left="3600" w:hanging="360"/>
      </w:pPr>
    </w:lvl>
    <w:lvl w:ilvl="5" w:tplc="45763274">
      <w:start w:val="1"/>
      <w:numFmt w:val="lowerRoman"/>
      <w:lvlText w:val="%6."/>
      <w:lvlJc w:val="right"/>
      <w:pPr>
        <w:ind w:left="4320" w:hanging="180"/>
      </w:pPr>
    </w:lvl>
    <w:lvl w:ilvl="6" w:tplc="E90E5A86">
      <w:start w:val="1"/>
      <w:numFmt w:val="decimal"/>
      <w:lvlText w:val="%7."/>
      <w:lvlJc w:val="left"/>
      <w:pPr>
        <w:ind w:left="5040" w:hanging="360"/>
      </w:pPr>
    </w:lvl>
    <w:lvl w:ilvl="7" w:tplc="1E9CCC82">
      <w:start w:val="1"/>
      <w:numFmt w:val="lowerLetter"/>
      <w:lvlText w:val="%8."/>
      <w:lvlJc w:val="left"/>
      <w:pPr>
        <w:ind w:left="5760" w:hanging="360"/>
      </w:pPr>
    </w:lvl>
    <w:lvl w:ilvl="8" w:tplc="544C7944">
      <w:start w:val="1"/>
      <w:numFmt w:val="lowerRoman"/>
      <w:lvlText w:val="%9."/>
      <w:lvlJc w:val="right"/>
      <w:pPr>
        <w:ind w:left="6480" w:hanging="180"/>
      </w:pPr>
    </w:lvl>
  </w:abstractNum>
  <w:abstractNum w:abstractNumId="48" w15:restartNumberingAfterBreak="0">
    <w:nsid w:val="7EF14589"/>
    <w:multiLevelType w:val="multilevel"/>
    <w:tmpl w:val="9FD8911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9" w15:restartNumberingAfterBreak="0">
    <w:nsid w:val="7FCA4E1A"/>
    <w:multiLevelType w:val="multilevel"/>
    <w:tmpl w:val="04080D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538669624">
    <w:abstractNumId w:val="3"/>
  </w:num>
  <w:num w:numId="2" w16cid:durableId="1870606749">
    <w:abstractNumId w:val="16"/>
  </w:num>
  <w:num w:numId="3" w16cid:durableId="1113749756">
    <w:abstractNumId w:val="9"/>
  </w:num>
  <w:num w:numId="4" w16cid:durableId="970212249">
    <w:abstractNumId w:val="18"/>
  </w:num>
  <w:num w:numId="5" w16cid:durableId="1759710419">
    <w:abstractNumId w:val="1"/>
  </w:num>
  <w:num w:numId="6" w16cid:durableId="1476488265">
    <w:abstractNumId w:val="23"/>
  </w:num>
  <w:num w:numId="7" w16cid:durableId="1201094843">
    <w:abstractNumId w:val="0"/>
  </w:num>
  <w:num w:numId="8" w16cid:durableId="1739593134">
    <w:abstractNumId w:val="36"/>
  </w:num>
  <w:num w:numId="9" w16cid:durableId="1863082792">
    <w:abstractNumId w:val="22"/>
  </w:num>
  <w:num w:numId="10" w16cid:durableId="1159075326">
    <w:abstractNumId w:val="24"/>
  </w:num>
  <w:num w:numId="11" w16cid:durableId="1448768795">
    <w:abstractNumId w:val="40"/>
  </w:num>
  <w:num w:numId="12" w16cid:durableId="1638679831">
    <w:abstractNumId w:val="21"/>
  </w:num>
  <w:num w:numId="13" w16cid:durableId="1546985808">
    <w:abstractNumId w:val="42"/>
  </w:num>
  <w:num w:numId="14" w16cid:durableId="1342732201">
    <w:abstractNumId w:val="13"/>
  </w:num>
  <w:num w:numId="15" w16cid:durableId="2090998404">
    <w:abstractNumId w:val="12"/>
  </w:num>
  <w:num w:numId="16" w16cid:durableId="1395199317">
    <w:abstractNumId w:val="45"/>
  </w:num>
  <w:num w:numId="17" w16cid:durableId="488517403">
    <w:abstractNumId w:val="19"/>
  </w:num>
  <w:num w:numId="18" w16cid:durableId="662661349">
    <w:abstractNumId w:val="28"/>
  </w:num>
  <w:num w:numId="19" w16cid:durableId="1991010030">
    <w:abstractNumId w:val="41"/>
  </w:num>
  <w:num w:numId="20" w16cid:durableId="615405076">
    <w:abstractNumId w:val="46"/>
  </w:num>
  <w:num w:numId="21" w16cid:durableId="1616790530">
    <w:abstractNumId w:val="43"/>
  </w:num>
  <w:num w:numId="22" w16cid:durableId="600836794">
    <w:abstractNumId w:val="32"/>
  </w:num>
  <w:num w:numId="23" w16cid:durableId="349180822">
    <w:abstractNumId w:val="39"/>
  </w:num>
  <w:num w:numId="24" w16cid:durableId="968240747">
    <w:abstractNumId w:val="47"/>
  </w:num>
  <w:num w:numId="25" w16cid:durableId="673191376">
    <w:abstractNumId w:val="5"/>
  </w:num>
  <w:num w:numId="26" w16cid:durableId="752972639">
    <w:abstractNumId w:val="17"/>
  </w:num>
  <w:num w:numId="27" w16cid:durableId="393239668">
    <w:abstractNumId w:val="8"/>
  </w:num>
  <w:num w:numId="28" w16cid:durableId="214703991">
    <w:abstractNumId w:val="33"/>
  </w:num>
  <w:num w:numId="29" w16cid:durableId="1787581456">
    <w:abstractNumId w:val="14"/>
  </w:num>
  <w:num w:numId="30" w16cid:durableId="2823606">
    <w:abstractNumId w:val="7"/>
  </w:num>
  <w:num w:numId="31" w16cid:durableId="1240408296">
    <w:abstractNumId w:val="15"/>
  </w:num>
  <w:num w:numId="32" w16cid:durableId="508953894">
    <w:abstractNumId w:val="49"/>
  </w:num>
  <w:num w:numId="33" w16cid:durableId="1178620333">
    <w:abstractNumId w:val="30"/>
  </w:num>
  <w:num w:numId="34" w16cid:durableId="1526753873">
    <w:abstractNumId w:val="48"/>
  </w:num>
  <w:num w:numId="35" w16cid:durableId="62218855">
    <w:abstractNumId w:val="38"/>
  </w:num>
  <w:num w:numId="36" w16cid:durableId="777607707">
    <w:abstractNumId w:val="35"/>
  </w:num>
  <w:num w:numId="37" w16cid:durableId="1179664411">
    <w:abstractNumId w:val="2"/>
  </w:num>
  <w:num w:numId="38" w16cid:durableId="795833889">
    <w:abstractNumId w:val="10"/>
  </w:num>
  <w:num w:numId="39" w16cid:durableId="2035575703">
    <w:abstractNumId w:val="6"/>
  </w:num>
  <w:num w:numId="40" w16cid:durableId="1007887">
    <w:abstractNumId w:val="34"/>
  </w:num>
  <w:num w:numId="41" w16cid:durableId="1228343864">
    <w:abstractNumId w:val="29"/>
  </w:num>
  <w:num w:numId="42" w16cid:durableId="131676692">
    <w:abstractNumId w:val="25"/>
  </w:num>
  <w:num w:numId="43" w16cid:durableId="2142069531">
    <w:abstractNumId w:val="27"/>
  </w:num>
  <w:num w:numId="44" w16cid:durableId="834347260">
    <w:abstractNumId w:val="31"/>
  </w:num>
  <w:num w:numId="45" w16cid:durableId="1851219899">
    <w:abstractNumId w:val="11"/>
  </w:num>
  <w:num w:numId="46" w16cid:durableId="220675318">
    <w:abstractNumId w:val="26"/>
  </w:num>
  <w:num w:numId="47" w16cid:durableId="1794791293">
    <w:abstractNumId w:val="37"/>
  </w:num>
  <w:num w:numId="48" w16cid:durableId="194848887">
    <w:abstractNumId w:val="20"/>
  </w:num>
  <w:num w:numId="49" w16cid:durableId="1700012480">
    <w:abstractNumId w:val="4"/>
  </w:num>
  <w:num w:numId="50" w16cid:durableId="86852519">
    <w:abstractNumId w:val="44"/>
    <w:lvlOverride w:ilvl="0">
      <w:startOverride w:val="1"/>
    </w:lvlOverride>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80"/>
  <w:activeWritingStyle w:lang="en-GB" w:vendorID="64" w:dllVersion="0" w:nlCheck="1" w:checkStyle="0" w:appName="MSWord"/>
  <w:trackRevisions w:val="fals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E7D"/>
    <w:rsid w:val="000005BE"/>
    <w:rsid w:val="00000981"/>
    <w:rsid w:val="000011CF"/>
    <w:rsid w:val="00001743"/>
    <w:rsid w:val="0000518B"/>
    <w:rsid w:val="000054A7"/>
    <w:rsid w:val="000067B8"/>
    <w:rsid w:val="0001023E"/>
    <w:rsid w:val="000107BD"/>
    <w:rsid w:val="00010ED5"/>
    <w:rsid w:val="000128E3"/>
    <w:rsid w:val="000146A5"/>
    <w:rsid w:val="00014931"/>
    <w:rsid w:val="000149A5"/>
    <w:rsid w:val="00020EFB"/>
    <w:rsid w:val="00024F28"/>
    <w:rsid w:val="0002556B"/>
    <w:rsid w:val="00025B0C"/>
    <w:rsid w:val="00027FED"/>
    <w:rsid w:val="00033EA7"/>
    <w:rsid w:val="000354DB"/>
    <w:rsid w:val="00035C8A"/>
    <w:rsid w:val="000407DF"/>
    <w:rsid w:val="00040A05"/>
    <w:rsid w:val="0004111C"/>
    <w:rsid w:val="000415FC"/>
    <w:rsid w:val="000418C0"/>
    <w:rsid w:val="00041D78"/>
    <w:rsid w:val="00043165"/>
    <w:rsid w:val="00043524"/>
    <w:rsid w:val="00043B6D"/>
    <w:rsid w:val="00044006"/>
    <w:rsid w:val="00044DB8"/>
    <w:rsid w:val="0004508D"/>
    <w:rsid w:val="00047BF5"/>
    <w:rsid w:val="00047C07"/>
    <w:rsid w:val="00050789"/>
    <w:rsid w:val="0005283A"/>
    <w:rsid w:val="000532DA"/>
    <w:rsid w:val="00053F6A"/>
    <w:rsid w:val="0005505B"/>
    <w:rsid w:val="00056F8E"/>
    <w:rsid w:val="00057DBE"/>
    <w:rsid w:val="00060280"/>
    <w:rsid w:val="00060EDF"/>
    <w:rsid w:val="00062776"/>
    <w:rsid w:val="00063A9D"/>
    <w:rsid w:val="0006410E"/>
    <w:rsid w:val="00064BF5"/>
    <w:rsid w:val="000667B9"/>
    <w:rsid w:val="00066D28"/>
    <w:rsid w:val="00067330"/>
    <w:rsid w:val="00067726"/>
    <w:rsid w:val="00067777"/>
    <w:rsid w:val="000704CF"/>
    <w:rsid w:val="000704F7"/>
    <w:rsid w:val="00072755"/>
    <w:rsid w:val="00073AEF"/>
    <w:rsid w:val="00073BA7"/>
    <w:rsid w:val="0007530F"/>
    <w:rsid w:val="0007559F"/>
    <w:rsid w:val="000766EF"/>
    <w:rsid w:val="00077B79"/>
    <w:rsid w:val="0008065C"/>
    <w:rsid w:val="00080A31"/>
    <w:rsid w:val="000823E5"/>
    <w:rsid w:val="0008261F"/>
    <w:rsid w:val="00082FF0"/>
    <w:rsid w:val="0008308A"/>
    <w:rsid w:val="000836EC"/>
    <w:rsid w:val="00084E08"/>
    <w:rsid w:val="00085795"/>
    <w:rsid w:val="0008649D"/>
    <w:rsid w:val="000864B5"/>
    <w:rsid w:val="00086744"/>
    <w:rsid w:val="0008749B"/>
    <w:rsid w:val="00087713"/>
    <w:rsid w:val="0009090D"/>
    <w:rsid w:val="00090E56"/>
    <w:rsid w:val="000915AC"/>
    <w:rsid w:val="000934A1"/>
    <w:rsid w:val="000938AC"/>
    <w:rsid w:val="00093C9F"/>
    <w:rsid w:val="000943ED"/>
    <w:rsid w:val="00095688"/>
    <w:rsid w:val="000957CF"/>
    <w:rsid w:val="0009583F"/>
    <w:rsid w:val="00096782"/>
    <w:rsid w:val="00097881"/>
    <w:rsid w:val="000A041D"/>
    <w:rsid w:val="000A0923"/>
    <w:rsid w:val="000A0CE5"/>
    <w:rsid w:val="000A1485"/>
    <w:rsid w:val="000A2553"/>
    <w:rsid w:val="000A2D47"/>
    <w:rsid w:val="000A2EC0"/>
    <w:rsid w:val="000A3A9E"/>
    <w:rsid w:val="000A3FB4"/>
    <w:rsid w:val="000A40C2"/>
    <w:rsid w:val="000A46FB"/>
    <w:rsid w:val="000A50D0"/>
    <w:rsid w:val="000A54FD"/>
    <w:rsid w:val="000A5635"/>
    <w:rsid w:val="000A59D7"/>
    <w:rsid w:val="000A729F"/>
    <w:rsid w:val="000B06AF"/>
    <w:rsid w:val="000B17D5"/>
    <w:rsid w:val="000B3A31"/>
    <w:rsid w:val="000B46F5"/>
    <w:rsid w:val="000B5FA4"/>
    <w:rsid w:val="000B6824"/>
    <w:rsid w:val="000B6BA1"/>
    <w:rsid w:val="000B78FB"/>
    <w:rsid w:val="000C05CF"/>
    <w:rsid w:val="000C130B"/>
    <w:rsid w:val="000C1D44"/>
    <w:rsid w:val="000C2F50"/>
    <w:rsid w:val="000C3765"/>
    <w:rsid w:val="000C5637"/>
    <w:rsid w:val="000C6278"/>
    <w:rsid w:val="000C6D5B"/>
    <w:rsid w:val="000C778B"/>
    <w:rsid w:val="000D06E8"/>
    <w:rsid w:val="000D20D0"/>
    <w:rsid w:val="000D246B"/>
    <w:rsid w:val="000D2BBF"/>
    <w:rsid w:val="000D3FC0"/>
    <w:rsid w:val="000D583A"/>
    <w:rsid w:val="000D640C"/>
    <w:rsid w:val="000D6517"/>
    <w:rsid w:val="000D6CA7"/>
    <w:rsid w:val="000D732E"/>
    <w:rsid w:val="000D7D37"/>
    <w:rsid w:val="000E4AAF"/>
    <w:rsid w:val="000E4E54"/>
    <w:rsid w:val="000E4FC4"/>
    <w:rsid w:val="000E62CB"/>
    <w:rsid w:val="000E71D9"/>
    <w:rsid w:val="000F013E"/>
    <w:rsid w:val="000F0CD7"/>
    <w:rsid w:val="000F1F2D"/>
    <w:rsid w:val="000F7454"/>
    <w:rsid w:val="0010382E"/>
    <w:rsid w:val="00104687"/>
    <w:rsid w:val="00104F47"/>
    <w:rsid w:val="00106354"/>
    <w:rsid w:val="00110029"/>
    <w:rsid w:val="001100EA"/>
    <w:rsid w:val="00110370"/>
    <w:rsid w:val="00110AFC"/>
    <w:rsid w:val="0011190B"/>
    <w:rsid w:val="00112002"/>
    <w:rsid w:val="00113418"/>
    <w:rsid w:val="00113CBE"/>
    <w:rsid w:val="001170E4"/>
    <w:rsid w:val="001200B3"/>
    <w:rsid w:val="0012017E"/>
    <w:rsid w:val="0012026C"/>
    <w:rsid w:val="00120BE4"/>
    <w:rsid w:val="00121A4B"/>
    <w:rsid w:val="00124AB4"/>
    <w:rsid w:val="001258D0"/>
    <w:rsid w:val="00127143"/>
    <w:rsid w:val="00131B58"/>
    <w:rsid w:val="001328A4"/>
    <w:rsid w:val="00132D28"/>
    <w:rsid w:val="001334D8"/>
    <w:rsid w:val="001343FC"/>
    <w:rsid w:val="001344F3"/>
    <w:rsid w:val="00134805"/>
    <w:rsid w:val="0013681A"/>
    <w:rsid w:val="00136F65"/>
    <w:rsid w:val="0013718F"/>
    <w:rsid w:val="001407EA"/>
    <w:rsid w:val="0014152B"/>
    <w:rsid w:val="0014176F"/>
    <w:rsid w:val="00142269"/>
    <w:rsid w:val="0014264F"/>
    <w:rsid w:val="001428BD"/>
    <w:rsid w:val="00142BA6"/>
    <w:rsid w:val="00143AC0"/>
    <w:rsid w:val="0014473E"/>
    <w:rsid w:val="00144A05"/>
    <w:rsid w:val="0014558F"/>
    <w:rsid w:val="00145CE3"/>
    <w:rsid w:val="001461BB"/>
    <w:rsid w:val="00146549"/>
    <w:rsid w:val="001502D0"/>
    <w:rsid w:val="00150C2A"/>
    <w:rsid w:val="00150F5B"/>
    <w:rsid w:val="00153406"/>
    <w:rsid w:val="001546D5"/>
    <w:rsid w:val="00154B02"/>
    <w:rsid w:val="00154CB1"/>
    <w:rsid w:val="0015502D"/>
    <w:rsid w:val="00155495"/>
    <w:rsid w:val="00155899"/>
    <w:rsid w:val="001567D8"/>
    <w:rsid w:val="00157623"/>
    <w:rsid w:val="00157890"/>
    <w:rsid w:val="00160217"/>
    <w:rsid w:val="00160298"/>
    <w:rsid w:val="001602E4"/>
    <w:rsid w:val="00160456"/>
    <w:rsid w:val="0016060F"/>
    <w:rsid w:val="001616C0"/>
    <w:rsid w:val="0016210E"/>
    <w:rsid w:val="00163249"/>
    <w:rsid w:val="00163483"/>
    <w:rsid w:val="0016483A"/>
    <w:rsid w:val="00165D9B"/>
    <w:rsid w:val="0016606C"/>
    <w:rsid w:val="0016652B"/>
    <w:rsid w:val="001746FF"/>
    <w:rsid w:val="001750FA"/>
    <w:rsid w:val="00177E77"/>
    <w:rsid w:val="00177F4B"/>
    <w:rsid w:val="00180DCF"/>
    <w:rsid w:val="0018103E"/>
    <w:rsid w:val="0018162C"/>
    <w:rsid w:val="00182154"/>
    <w:rsid w:val="001833EF"/>
    <w:rsid w:val="00184D03"/>
    <w:rsid w:val="001851B9"/>
    <w:rsid w:val="00185855"/>
    <w:rsid w:val="0018666B"/>
    <w:rsid w:val="0018792E"/>
    <w:rsid w:val="001901D5"/>
    <w:rsid w:val="00191CD0"/>
    <w:rsid w:val="0019214B"/>
    <w:rsid w:val="00192A32"/>
    <w:rsid w:val="0019388B"/>
    <w:rsid w:val="001968E0"/>
    <w:rsid w:val="001A0669"/>
    <w:rsid w:val="001A0913"/>
    <w:rsid w:val="001A0AF6"/>
    <w:rsid w:val="001A67F0"/>
    <w:rsid w:val="001A7AE5"/>
    <w:rsid w:val="001A7B20"/>
    <w:rsid w:val="001A7E4B"/>
    <w:rsid w:val="001A7ECF"/>
    <w:rsid w:val="001B1E5F"/>
    <w:rsid w:val="001B207F"/>
    <w:rsid w:val="001B3030"/>
    <w:rsid w:val="001B30F2"/>
    <w:rsid w:val="001B477E"/>
    <w:rsid w:val="001B4BCE"/>
    <w:rsid w:val="001B4C6B"/>
    <w:rsid w:val="001B5A49"/>
    <w:rsid w:val="001B5DF6"/>
    <w:rsid w:val="001B5FFB"/>
    <w:rsid w:val="001B664D"/>
    <w:rsid w:val="001B68B2"/>
    <w:rsid w:val="001B6F4A"/>
    <w:rsid w:val="001C1627"/>
    <w:rsid w:val="001C1ED1"/>
    <w:rsid w:val="001C20A9"/>
    <w:rsid w:val="001C21B9"/>
    <w:rsid w:val="001C28AC"/>
    <w:rsid w:val="001C2EA9"/>
    <w:rsid w:val="001C39E7"/>
    <w:rsid w:val="001C46EA"/>
    <w:rsid w:val="001C4A40"/>
    <w:rsid w:val="001C61F0"/>
    <w:rsid w:val="001C7335"/>
    <w:rsid w:val="001D09B1"/>
    <w:rsid w:val="001D1E14"/>
    <w:rsid w:val="001D2545"/>
    <w:rsid w:val="001D3D6F"/>
    <w:rsid w:val="001D4C83"/>
    <w:rsid w:val="001D7C1A"/>
    <w:rsid w:val="001E00E7"/>
    <w:rsid w:val="001E11D7"/>
    <w:rsid w:val="001E2504"/>
    <w:rsid w:val="001E2A02"/>
    <w:rsid w:val="001E3A5D"/>
    <w:rsid w:val="001E3B9B"/>
    <w:rsid w:val="001E5596"/>
    <w:rsid w:val="001E726F"/>
    <w:rsid w:val="001E7634"/>
    <w:rsid w:val="001F0FCB"/>
    <w:rsid w:val="001F147A"/>
    <w:rsid w:val="001F39E3"/>
    <w:rsid w:val="001F7AB5"/>
    <w:rsid w:val="00201553"/>
    <w:rsid w:val="0020320F"/>
    <w:rsid w:val="00203832"/>
    <w:rsid w:val="00204BC1"/>
    <w:rsid w:val="002078D5"/>
    <w:rsid w:val="00211AD2"/>
    <w:rsid w:val="00212EB2"/>
    <w:rsid w:val="00213376"/>
    <w:rsid w:val="00213460"/>
    <w:rsid w:val="00213673"/>
    <w:rsid w:val="00213D69"/>
    <w:rsid w:val="0021525D"/>
    <w:rsid w:val="00215406"/>
    <w:rsid w:val="00215CA9"/>
    <w:rsid w:val="002164FB"/>
    <w:rsid w:val="00217083"/>
    <w:rsid w:val="00217965"/>
    <w:rsid w:val="00222811"/>
    <w:rsid w:val="00223CE5"/>
    <w:rsid w:val="00224651"/>
    <w:rsid w:val="0022488F"/>
    <w:rsid w:val="00224A2E"/>
    <w:rsid w:val="0022667A"/>
    <w:rsid w:val="00226B4B"/>
    <w:rsid w:val="00226E1C"/>
    <w:rsid w:val="00230B2E"/>
    <w:rsid w:val="00230D6E"/>
    <w:rsid w:val="002337EA"/>
    <w:rsid w:val="00235815"/>
    <w:rsid w:val="00235F17"/>
    <w:rsid w:val="00240C97"/>
    <w:rsid w:val="00240DAF"/>
    <w:rsid w:val="00241AF0"/>
    <w:rsid w:val="00242188"/>
    <w:rsid w:val="00243682"/>
    <w:rsid w:val="002443B8"/>
    <w:rsid w:val="002462E4"/>
    <w:rsid w:val="00246A49"/>
    <w:rsid w:val="002505C9"/>
    <w:rsid w:val="00251AC5"/>
    <w:rsid w:val="00252383"/>
    <w:rsid w:val="002525B8"/>
    <w:rsid w:val="00254858"/>
    <w:rsid w:val="002561D7"/>
    <w:rsid w:val="002571D4"/>
    <w:rsid w:val="00257720"/>
    <w:rsid w:val="0025779B"/>
    <w:rsid w:val="00262A5A"/>
    <w:rsid w:val="00265585"/>
    <w:rsid w:val="00265E8A"/>
    <w:rsid w:val="00267AEB"/>
    <w:rsid w:val="0027035C"/>
    <w:rsid w:val="00270F32"/>
    <w:rsid w:val="00271497"/>
    <w:rsid w:val="002729A0"/>
    <w:rsid w:val="002776AD"/>
    <w:rsid w:val="00280F59"/>
    <w:rsid w:val="0028139A"/>
    <w:rsid w:val="00282B66"/>
    <w:rsid w:val="00283A50"/>
    <w:rsid w:val="00285AB8"/>
    <w:rsid w:val="0028648E"/>
    <w:rsid w:val="0028759E"/>
    <w:rsid w:val="002878CA"/>
    <w:rsid w:val="0029089A"/>
    <w:rsid w:val="002908A0"/>
    <w:rsid w:val="00290AE9"/>
    <w:rsid w:val="00290DD1"/>
    <w:rsid w:val="00292126"/>
    <w:rsid w:val="002924FC"/>
    <w:rsid w:val="00292E19"/>
    <w:rsid w:val="0029335C"/>
    <w:rsid w:val="00293C58"/>
    <w:rsid w:val="00293C64"/>
    <w:rsid w:val="00294137"/>
    <w:rsid w:val="00294271"/>
    <w:rsid w:val="002961C5"/>
    <w:rsid w:val="002968E1"/>
    <w:rsid w:val="002A05E8"/>
    <w:rsid w:val="002A1454"/>
    <w:rsid w:val="002A1497"/>
    <w:rsid w:val="002A1886"/>
    <w:rsid w:val="002A19E5"/>
    <w:rsid w:val="002A339A"/>
    <w:rsid w:val="002A4160"/>
    <w:rsid w:val="002A49DD"/>
    <w:rsid w:val="002A5495"/>
    <w:rsid w:val="002A58A0"/>
    <w:rsid w:val="002A6724"/>
    <w:rsid w:val="002B07CF"/>
    <w:rsid w:val="002B0C13"/>
    <w:rsid w:val="002B363D"/>
    <w:rsid w:val="002B3EA2"/>
    <w:rsid w:val="002B3F28"/>
    <w:rsid w:val="002B4B69"/>
    <w:rsid w:val="002B52E3"/>
    <w:rsid w:val="002B683D"/>
    <w:rsid w:val="002C12D3"/>
    <w:rsid w:val="002C149F"/>
    <w:rsid w:val="002C1697"/>
    <w:rsid w:val="002C245F"/>
    <w:rsid w:val="002C2B3F"/>
    <w:rsid w:val="002C2BEA"/>
    <w:rsid w:val="002C2C8B"/>
    <w:rsid w:val="002C3F08"/>
    <w:rsid w:val="002C443D"/>
    <w:rsid w:val="002C5179"/>
    <w:rsid w:val="002C5232"/>
    <w:rsid w:val="002C6837"/>
    <w:rsid w:val="002D01EB"/>
    <w:rsid w:val="002D1987"/>
    <w:rsid w:val="002D2A6A"/>
    <w:rsid w:val="002D3086"/>
    <w:rsid w:val="002D35E7"/>
    <w:rsid w:val="002D3742"/>
    <w:rsid w:val="002D5993"/>
    <w:rsid w:val="002D6011"/>
    <w:rsid w:val="002D6CD5"/>
    <w:rsid w:val="002E0D1A"/>
    <w:rsid w:val="002E157E"/>
    <w:rsid w:val="002E1769"/>
    <w:rsid w:val="002E1899"/>
    <w:rsid w:val="002E19C0"/>
    <w:rsid w:val="002E1ACC"/>
    <w:rsid w:val="002E2A11"/>
    <w:rsid w:val="002E4548"/>
    <w:rsid w:val="002E4BE1"/>
    <w:rsid w:val="002E573F"/>
    <w:rsid w:val="002E62B0"/>
    <w:rsid w:val="002F09C0"/>
    <w:rsid w:val="002F281E"/>
    <w:rsid w:val="002F42C5"/>
    <w:rsid w:val="002F5100"/>
    <w:rsid w:val="002F52DC"/>
    <w:rsid w:val="002F52ED"/>
    <w:rsid w:val="002F6E8A"/>
    <w:rsid w:val="003007ED"/>
    <w:rsid w:val="00300935"/>
    <w:rsid w:val="003012F3"/>
    <w:rsid w:val="00304625"/>
    <w:rsid w:val="00306422"/>
    <w:rsid w:val="00306F75"/>
    <w:rsid w:val="00307BA7"/>
    <w:rsid w:val="00310306"/>
    <w:rsid w:val="00310EE5"/>
    <w:rsid w:val="00313352"/>
    <w:rsid w:val="00314BC3"/>
    <w:rsid w:val="00315D89"/>
    <w:rsid w:val="00316F0B"/>
    <w:rsid w:val="00320814"/>
    <w:rsid w:val="0032087E"/>
    <w:rsid w:val="00322847"/>
    <w:rsid w:val="0032284B"/>
    <w:rsid w:val="00322F75"/>
    <w:rsid w:val="003232CC"/>
    <w:rsid w:val="003233FA"/>
    <w:rsid w:val="00325EDD"/>
    <w:rsid w:val="00331952"/>
    <w:rsid w:val="003345F5"/>
    <w:rsid w:val="0033477D"/>
    <w:rsid w:val="00334831"/>
    <w:rsid w:val="00334EDD"/>
    <w:rsid w:val="00335746"/>
    <w:rsid w:val="0033601C"/>
    <w:rsid w:val="00337251"/>
    <w:rsid w:val="00337359"/>
    <w:rsid w:val="0034042B"/>
    <w:rsid w:val="00340F6F"/>
    <w:rsid w:val="00343403"/>
    <w:rsid w:val="0034487E"/>
    <w:rsid w:val="00344956"/>
    <w:rsid w:val="00344CFB"/>
    <w:rsid w:val="00351043"/>
    <w:rsid w:val="00351086"/>
    <w:rsid w:val="003526C2"/>
    <w:rsid w:val="00352FCA"/>
    <w:rsid w:val="00353E62"/>
    <w:rsid w:val="0035434A"/>
    <w:rsid w:val="00354AC7"/>
    <w:rsid w:val="0035519D"/>
    <w:rsid w:val="003556AD"/>
    <w:rsid w:val="00356483"/>
    <w:rsid w:val="0035667C"/>
    <w:rsid w:val="00357056"/>
    <w:rsid w:val="00357B0E"/>
    <w:rsid w:val="00361C9A"/>
    <w:rsid w:val="003628C2"/>
    <w:rsid w:val="00363CB0"/>
    <w:rsid w:val="00364AF0"/>
    <w:rsid w:val="00365516"/>
    <w:rsid w:val="00365674"/>
    <w:rsid w:val="00366226"/>
    <w:rsid w:val="00367E2C"/>
    <w:rsid w:val="00370C8A"/>
    <w:rsid w:val="00370E10"/>
    <w:rsid w:val="00371912"/>
    <w:rsid w:val="00373485"/>
    <w:rsid w:val="00373D4A"/>
    <w:rsid w:val="00374174"/>
    <w:rsid w:val="00374416"/>
    <w:rsid w:val="0038070F"/>
    <w:rsid w:val="00381260"/>
    <w:rsid w:val="00384EA3"/>
    <w:rsid w:val="00386D92"/>
    <w:rsid w:val="003947E6"/>
    <w:rsid w:val="003950CF"/>
    <w:rsid w:val="0039570B"/>
    <w:rsid w:val="00395FED"/>
    <w:rsid w:val="003A3019"/>
    <w:rsid w:val="003A36F8"/>
    <w:rsid w:val="003A3708"/>
    <w:rsid w:val="003A3801"/>
    <w:rsid w:val="003A3EDE"/>
    <w:rsid w:val="003A4496"/>
    <w:rsid w:val="003A5C14"/>
    <w:rsid w:val="003A60C5"/>
    <w:rsid w:val="003A773C"/>
    <w:rsid w:val="003B08AD"/>
    <w:rsid w:val="003B3CC6"/>
    <w:rsid w:val="003B3EDE"/>
    <w:rsid w:val="003C17B9"/>
    <w:rsid w:val="003C3239"/>
    <w:rsid w:val="003C42E8"/>
    <w:rsid w:val="003C4F4A"/>
    <w:rsid w:val="003C5F96"/>
    <w:rsid w:val="003C6AEF"/>
    <w:rsid w:val="003C74D0"/>
    <w:rsid w:val="003D008C"/>
    <w:rsid w:val="003D0914"/>
    <w:rsid w:val="003D1570"/>
    <w:rsid w:val="003D1D55"/>
    <w:rsid w:val="003D1DC9"/>
    <w:rsid w:val="003D22F1"/>
    <w:rsid w:val="003D2DAD"/>
    <w:rsid w:val="003D32FD"/>
    <w:rsid w:val="003D350F"/>
    <w:rsid w:val="003D53E6"/>
    <w:rsid w:val="003D5C0A"/>
    <w:rsid w:val="003D69D5"/>
    <w:rsid w:val="003D6D11"/>
    <w:rsid w:val="003D6E9A"/>
    <w:rsid w:val="003D71EF"/>
    <w:rsid w:val="003D782B"/>
    <w:rsid w:val="003E1A79"/>
    <w:rsid w:val="003E2ED7"/>
    <w:rsid w:val="003E4755"/>
    <w:rsid w:val="003E5745"/>
    <w:rsid w:val="003E57BE"/>
    <w:rsid w:val="003E6125"/>
    <w:rsid w:val="003E6A48"/>
    <w:rsid w:val="003E743B"/>
    <w:rsid w:val="003E7B00"/>
    <w:rsid w:val="003E7C88"/>
    <w:rsid w:val="003E7CB4"/>
    <w:rsid w:val="003F1C82"/>
    <w:rsid w:val="003F244E"/>
    <w:rsid w:val="003F32CB"/>
    <w:rsid w:val="003F33B4"/>
    <w:rsid w:val="003F3A63"/>
    <w:rsid w:val="003F4D1A"/>
    <w:rsid w:val="003F5CB5"/>
    <w:rsid w:val="003F7BD6"/>
    <w:rsid w:val="00401A66"/>
    <w:rsid w:val="00401D80"/>
    <w:rsid w:val="00402AD5"/>
    <w:rsid w:val="00403732"/>
    <w:rsid w:val="00403BA8"/>
    <w:rsid w:val="00404F41"/>
    <w:rsid w:val="00405240"/>
    <w:rsid w:val="00405BA3"/>
    <w:rsid w:val="00406A07"/>
    <w:rsid w:val="0041000B"/>
    <w:rsid w:val="00410B2F"/>
    <w:rsid w:val="00410E07"/>
    <w:rsid w:val="004116AD"/>
    <w:rsid w:val="00411A6C"/>
    <w:rsid w:val="004135AA"/>
    <w:rsid w:val="00413E96"/>
    <w:rsid w:val="00413F94"/>
    <w:rsid w:val="0041425C"/>
    <w:rsid w:val="004160C6"/>
    <w:rsid w:val="00417573"/>
    <w:rsid w:val="00417C12"/>
    <w:rsid w:val="00420957"/>
    <w:rsid w:val="00421B91"/>
    <w:rsid w:val="00422388"/>
    <w:rsid w:val="00423191"/>
    <w:rsid w:val="004234EB"/>
    <w:rsid w:val="00423623"/>
    <w:rsid w:val="004238B6"/>
    <w:rsid w:val="00424644"/>
    <w:rsid w:val="004259ED"/>
    <w:rsid w:val="00425B22"/>
    <w:rsid w:val="00425C65"/>
    <w:rsid w:val="00426020"/>
    <w:rsid w:val="00426817"/>
    <w:rsid w:val="00430197"/>
    <w:rsid w:val="00431691"/>
    <w:rsid w:val="00432558"/>
    <w:rsid w:val="0043372F"/>
    <w:rsid w:val="00435AB7"/>
    <w:rsid w:val="00436644"/>
    <w:rsid w:val="00437DCF"/>
    <w:rsid w:val="00440AD9"/>
    <w:rsid w:val="004415BD"/>
    <w:rsid w:val="00441D6C"/>
    <w:rsid w:val="00442F36"/>
    <w:rsid w:val="00443C68"/>
    <w:rsid w:val="004449A5"/>
    <w:rsid w:val="00444D80"/>
    <w:rsid w:val="00445786"/>
    <w:rsid w:val="00445BE8"/>
    <w:rsid w:val="00445C22"/>
    <w:rsid w:val="00446266"/>
    <w:rsid w:val="0045009C"/>
    <w:rsid w:val="00450850"/>
    <w:rsid w:val="004535BC"/>
    <w:rsid w:val="004569BE"/>
    <w:rsid w:val="00456C5F"/>
    <w:rsid w:val="004617F6"/>
    <w:rsid w:val="004626CB"/>
    <w:rsid w:val="00462B16"/>
    <w:rsid w:val="00462BDE"/>
    <w:rsid w:val="00465E32"/>
    <w:rsid w:val="00466072"/>
    <w:rsid w:val="00470ED9"/>
    <w:rsid w:val="004710D3"/>
    <w:rsid w:val="00473C90"/>
    <w:rsid w:val="00474490"/>
    <w:rsid w:val="004754E1"/>
    <w:rsid w:val="00476DF0"/>
    <w:rsid w:val="0047700E"/>
    <w:rsid w:val="004802BC"/>
    <w:rsid w:val="00480362"/>
    <w:rsid w:val="004830FB"/>
    <w:rsid w:val="00485092"/>
    <w:rsid w:val="0048549B"/>
    <w:rsid w:val="004856B4"/>
    <w:rsid w:val="0048575D"/>
    <w:rsid w:val="0049056B"/>
    <w:rsid w:val="00491182"/>
    <w:rsid w:val="004916BF"/>
    <w:rsid w:val="00494359"/>
    <w:rsid w:val="00494726"/>
    <w:rsid w:val="00494A9C"/>
    <w:rsid w:val="004957BF"/>
    <w:rsid w:val="00495A64"/>
    <w:rsid w:val="00496692"/>
    <w:rsid w:val="00496DD1"/>
    <w:rsid w:val="004A0941"/>
    <w:rsid w:val="004A0E27"/>
    <w:rsid w:val="004A17FF"/>
    <w:rsid w:val="004A41ED"/>
    <w:rsid w:val="004A4AEB"/>
    <w:rsid w:val="004A7E85"/>
    <w:rsid w:val="004B0048"/>
    <w:rsid w:val="004B034C"/>
    <w:rsid w:val="004B1B4E"/>
    <w:rsid w:val="004B2A7A"/>
    <w:rsid w:val="004B3D47"/>
    <w:rsid w:val="004B4644"/>
    <w:rsid w:val="004B51C9"/>
    <w:rsid w:val="004B632D"/>
    <w:rsid w:val="004B6867"/>
    <w:rsid w:val="004B6E31"/>
    <w:rsid w:val="004B7229"/>
    <w:rsid w:val="004C1F4F"/>
    <w:rsid w:val="004C4486"/>
    <w:rsid w:val="004C4EEA"/>
    <w:rsid w:val="004C5F93"/>
    <w:rsid w:val="004C6AAE"/>
    <w:rsid w:val="004C6D74"/>
    <w:rsid w:val="004C6DE2"/>
    <w:rsid w:val="004C750E"/>
    <w:rsid w:val="004C7816"/>
    <w:rsid w:val="004D02F3"/>
    <w:rsid w:val="004D0AC7"/>
    <w:rsid w:val="004D11E7"/>
    <w:rsid w:val="004D127A"/>
    <w:rsid w:val="004D1F28"/>
    <w:rsid w:val="004D2779"/>
    <w:rsid w:val="004D34A8"/>
    <w:rsid w:val="004D6686"/>
    <w:rsid w:val="004D6AB8"/>
    <w:rsid w:val="004E0BBC"/>
    <w:rsid w:val="004E19D9"/>
    <w:rsid w:val="004E1FB2"/>
    <w:rsid w:val="004E2090"/>
    <w:rsid w:val="004E34F7"/>
    <w:rsid w:val="004E441A"/>
    <w:rsid w:val="004E6D2E"/>
    <w:rsid w:val="004E7442"/>
    <w:rsid w:val="004E7FBF"/>
    <w:rsid w:val="004F0826"/>
    <w:rsid w:val="004F1817"/>
    <w:rsid w:val="004F1E5D"/>
    <w:rsid w:val="004F35E0"/>
    <w:rsid w:val="004F35E3"/>
    <w:rsid w:val="004F3A17"/>
    <w:rsid w:val="004F3CF7"/>
    <w:rsid w:val="004F462A"/>
    <w:rsid w:val="004F4664"/>
    <w:rsid w:val="004F4C56"/>
    <w:rsid w:val="004F5622"/>
    <w:rsid w:val="004F6251"/>
    <w:rsid w:val="004F62B8"/>
    <w:rsid w:val="004F7327"/>
    <w:rsid w:val="004F765B"/>
    <w:rsid w:val="004F76A2"/>
    <w:rsid w:val="004F79A5"/>
    <w:rsid w:val="004F7D18"/>
    <w:rsid w:val="00500A92"/>
    <w:rsid w:val="005042DE"/>
    <w:rsid w:val="00504474"/>
    <w:rsid w:val="0050451A"/>
    <w:rsid w:val="00505D82"/>
    <w:rsid w:val="005076D3"/>
    <w:rsid w:val="00507C9B"/>
    <w:rsid w:val="00510904"/>
    <w:rsid w:val="00510F97"/>
    <w:rsid w:val="005114CA"/>
    <w:rsid w:val="005116F7"/>
    <w:rsid w:val="00512A89"/>
    <w:rsid w:val="00512CBC"/>
    <w:rsid w:val="00513602"/>
    <w:rsid w:val="005141B3"/>
    <w:rsid w:val="00515215"/>
    <w:rsid w:val="0051576D"/>
    <w:rsid w:val="00515B45"/>
    <w:rsid w:val="0052058E"/>
    <w:rsid w:val="005211D8"/>
    <w:rsid w:val="005219EA"/>
    <w:rsid w:val="0052237D"/>
    <w:rsid w:val="005235E6"/>
    <w:rsid w:val="005262D6"/>
    <w:rsid w:val="0052693B"/>
    <w:rsid w:val="0052732C"/>
    <w:rsid w:val="005279A1"/>
    <w:rsid w:val="00532376"/>
    <w:rsid w:val="005330AB"/>
    <w:rsid w:val="0053485F"/>
    <w:rsid w:val="005358DF"/>
    <w:rsid w:val="00541C05"/>
    <w:rsid w:val="0054397E"/>
    <w:rsid w:val="00543AAE"/>
    <w:rsid w:val="005456FC"/>
    <w:rsid w:val="0054571C"/>
    <w:rsid w:val="00547D2F"/>
    <w:rsid w:val="00550B07"/>
    <w:rsid w:val="00551A1B"/>
    <w:rsid w:val="00552263"/>
    <w:rsid w:val="00552D3D"/>
    <w:rsid w:val="00553C68"/>
    <w:rsid w:val="00555DB6"/>
    <w:rsid w:val="00556C68"/>
    <w:rsid w:val="00560AA8"/>
    <w:rsid w:val="0056137D"/>
    <w:rsid w:val="00561590"/>
    <w:rsid w:val="0056164D"/>
    <w:rsid w:val="0056255D"/>
    <w:rsid w:val="00563A1C"/>
    <w:rsid w:val="00564133"/>
    <w:rsid w:val="005673AD"/>
    <w:rsid w:val="00570B3F"/>
    <w:rsid w:val="00573CD9"/>
    <w:rsid w:val="00574129"/>
    <w:rsid w:val="00574478"/>
    <w:rsid w:val="00576856"/>
    <w:rsid w:val="005811AA"/>
    <w:rsid w:val="005815F9"/>
    <w:rsid w:val="00581E74"/>
    <w:rsid w:val="00582CB2"/>
    <w:rsid w:val="00583525"/>
    <w:rsid w:val="005850FB"/>
    <w:rsid w:val="005854B6"/>
    <w:rsid w:val="00586680"/>
    <w:rsid w:val="00587076"/>
    <w:rsid w:val="00587AA9"/>
    <w:rsid w:val="00590904"/>
    <w:rsid w:val="005912C9"/>
    <w:rsid w:val="00592A3D"/>
    <w:rsid w:val="0059534E"/>
    <w:rsid w:val="005959F7"/>
    <w:rsid w:val="00596C5E"/>
    <w:rsid w:val="00597B11"/>
    <w:rsid w:val="005A1378"/>
    <w:rsid w:val="005A37B8"/>
    <w:rsid w:val="005A39FA"/>
    <w:rsid w:val="005A3F75"/>
    <w:rsid w:val="005A43AD"/>
    <w:rsid w:val="005A5284"/>
    <w:rsid w:val="005A5B82"/>
    <w:rsid w:val="005A6E90"/>
    <w:rsid w:val="005A74E2"/>
    <w:rsid w:val="005A7C0D"/>
    <w:rsid w:val="005B0C52"/>
    <w:rsid w:val="005B0ED5"/>
    <w:rsid w:val="005B228E"/>
    <w:rsid w:val="005B384C"/>
    <w:rsid w:val="005B51FE"/>
    <w:rsid w:val="005B651D"/>
    <w:rsid w:val="005B735B"/>
    <w:rsid w:val="005C00CD"/>
    <w:rsid w:val="005C01E8"/>
    <w:rsid w:val="005C5289"/>
    <w:rsid w:val="005C57DA"/>
    <w:rsid w:val="005C6454"/>
    <w:rsid w:val="005C6ED5"/>
    <w:rsid w:val="005C7CFB"/>
    <w:rsid w:val="005D38BC"/>
    <w:rsid w:val="005D466A"/>
    <w:rsid w:val="005D55EA"/>
    <w:rsid w:val="005D66FE"/>
    <w:rsid w:val="005E3A84"/>
    <w:rsid w:val="005E4F98"/>
    <w:rsid w:val="005E58B5"/>
    <w:rsid w:val="005E5D0C"/>
    <w:rsid w:val="005F1010"/>
    <w:rsid w:val="005F1AE2"/>
    <w:rsid w:val="005F2AA5"/>
    <w:rsid w:val="005F2CF5"/>
    <w:rsid w:val="005F36D5"/>
    <w:rsid w:val="005F42DF"/>
    <w:rsid w:val="005F5428"/>
    <w:rsid w:val="005F6082"/>
    <w:rsid w:val="005F62DE"/>
    <w:rsid w:val="005F6EEF"/>
    <w:rsid w:val="005F72A6"/>
    <w:rsid w:val="006000D6"/>
    <w:rsid w:val="00600297"/>
    <w:rsid w:val="00600B84"/>
    <w:rsid w:val="00600CDC"/>
    <w:rsid w:val="006015B4"/>
    <w:rsid w:val="00601CCB"/>
    <w:rsid w:val="00605BF2"/>
    <w:rsid w:val="00607975"/>
    <w:rsid w:val="006122FE"/>
    <w:rsid w:val="006123D5"/>
    <w:rsid w:val="00612579"/>
    <w:rsid w:val="00613835"/>
    <w:rsid w:val="00614043"/>
    <w:rsid w:val="00614154"/>
    <w:rsid w:val="006148D2"/>
    <w:rsid w:val="006171C9"/>
    <w:rsid w:val="006173E2"/>
    <w:rsid w:val="00621F3C"/>
    <w:rsid w:val="006220D8"/>
    <w:rsid w:val="006226DF"/>
    <w:rsid w:val="00622DEA"/>
    <w:rsid w:val="00623B79"/>
    <w:rsid w:val="00625495"/>
    <w:rsid w:val="00626EF2"/>
    <w:rsid w:val="0063060D"/>
    <w:rsid w:val="0063099E"/>
    <w:rsid w:val="006323D2"/>
    <w:rsid w:val="00632C85"/>
    <w:rsid w:val="00635349"/>
    <w:rsid w:val="006356EC"/>
    <w:rsid w:val="0063584D"/>
    <w:rsid w:val="006366AC"/>
    <w:rsid w:val="00636980"/>
    <w:rsid w:val="00637140"/>
    <w:rsid w:val="006371D9"/>
    <w:rsid w:val="0063748A"/>
    <w:rsid w:val="0064079E"/>
    <w:rsid w:val="00641E75"/>
    <w:rsid w:val="00642502"/>
    <w:rsid w:val="00643E49"/>
    <w:rsid w:val="006440AD"/>
    <w:rsid w:val="0064576E"/>
    <w:rsid w:val="0064623C"/>
    <w:rsid w:val="0065047E"/>
    <w:rsid w:val="00653016"/>
    <w:rsid w:val="00653C3D"/>
    <w:rsid w:val="00654027"/>
    <w:rsid w:val="006550E1"/>
    <w:rsid w:val="0065590D"/>
    <w:rsid w:val="00656930"/>
    <w:rsid w:val="00660067"/>
    <w:rsid w:val="00660F25"/>
    <w:rsid w:val="0066140E"/>
    <w:rsid w:val="00661755"/>
    <w:rsid w:val="006626F9"/>
    <w:rsid w:val="00662E42"/>
    <w:rsid w:val="00663EE1"/>
    <w:rsid w:val="0066438D"/>
    <w:rsid w:val="006644C9"/>
    <w:rsid w:val="006659E8"/>
    <w:rsid w:val="0066625A"/>
    <w:rsid w:val="00667D65"/>
    <w:rsid w:val="00670F2A"/>
    <w:rsid w:val="00674893"/>
    <w:rsid w:val="00674C7B"/>
    <w:rsid w:val="0067549B"/>
    <w:rsid w:val="00676DB4"/>
    <w:rsid w:val="00681362"/>
    <w:rsid w:val="0068227E"/>
    <w:rsid w:val="00682D83"/>
    <w:rsid w:val="0068411D"/>
    <w:rsid w:val="00685E38"/>
    <w:rsid w:val="00686012"/>
    <w:rsid w:val="006862C0"/>
    <w:rsid w:val="0069046E"/>
    <w:rsid w:val="00690D18"/>
    <w:rsid w:val="00690E61"/>
    <w:rsid w:val="00690FCC"/>
    <w:rsid w:val="00691F88"/>
    <w:rsid w:val="0069498F"/>
    <w:rsid w:val="00695871"/>
    <w:rsid w:val="00695D52"/>
    <w:rsid w:val="006A03A2"/>
    <w:rsid w:val="006A367E"/>
    <w:rsid w:val="006A3ACF"/>
    <w:rsid w:val="006A3C7A"/>
    <w:rsid w:val="006A3C91"/>
    <w:rsid w:val="006A40AF"/>
    <w:rsid w:val="006A73BA"/>
    <w:rsid w:val="006A7842"/>
    <w:rsid w:val="006A7860"/>
    <w:rsid w:val="006B09AF"/>
    <w:rsid w:val="006B0B02"/>
    <w:rsid w:val="006B0FAB"/>
    <w:rsid w:val="006B2DC7"/>
    <w:rsid w:val="006B3C05"/>
    <w:rsid w:val="006B49D1"/>
    <w:rsid w:val="006B5E80"/>
    <w:rsid w:val="006B6516"/>
    <w:rsid w:val="006B78E0"/>
    <w:rsid w:val="006B7DD8"/>
    <w:rsid w:val="006C071A"/>
    <w:rsid w:val="006C08E3"/>
    <w:rsid w:val="006C0EA2"/>
    <w:rsid w:val="006C24A6"/>
    <w:rsid w:val="006C733D"/>
    <w:rsid w:val="006C786D"/>
    <w:rsid w:val="006D35AB"/>
    <w:rsid w:val="006D4735"/>
    <w:rsid w:val="006D49A5"/>
    <w:rsid w:val="006D560E"/>
    <w:rsid w:val="006D58C8"/>
    <w:rsid w:val="006D6223"/>
    <w:rsid w:val="006D6CE2"/>
    <w:rsid w:val="006D7259"/>
    <w:rsid w:val="006E0686"/>
    <w:rsid w:val="006E1DA4"/>
    <w:rsid w:val="006E208C"/>
    <w:rsid w:val="006E27B8"/>
    <w:rsid w:val="006E3AA8"/>
    <w:rsid w:val="006E43EB"/>
    <w:rsid w:val="006E4508"/>
    <w:rsid w:val="006E4AD9"/>
    <w:rsid w:val="006E5181"/>
    <w:rsid w:val="006E67AD"/>
    <w:rsid w:val="006F21EF"/>
    <w:rsid w:val="006F4649"/>
    <w:rsid w:val="006F46EC"/>
    <w:rsid w:val="006F571B"/>
    <w:rsid w:val="006F5C02"/>
    <w:rsid w:val="006F62CB"/>
    <w:rsid w:val="0070091C"/>
    <w:rsid w:val="00700C53"/>
    <w:rsid w:val="00700F64"/>
    <w:rsid w:val="00703DD1"/>
    <w:rsid w:val="00704D79"/>
    <w:rsid w:val="007061AF"/>
    <w:rsid w:val="00706268"/>
    <w:rsid w:val="007100A6"/>
    <w:rsid w:val="00711534"/>
    <w:rsid w:val="007118E2"/>
    <w:rsid w:val="00712B6B"/>
    <w:rsid w:val="00712FDB"/>
    <w:rsid w:val="0071409E"/>
    <w:rsid w:val="007142B2"/>
    <w:rsid w:val="007154CE"/>
    <w:rsid w:val="00715DAE"/>
    <w:rsid w:val="00717D70"/>
    <w:rsid w:val="0072206E"/>
    <w:rsid w:val="007222F2"/>
    <w:rsid w:val="00723649"/>
    <w:rsid w:val="007240C5"/>
    <w:rsid w:val="007241EF"/>
    <w:rsid w:val="00724661"/>
    <w:rsid w:val="00730801"/>
    <w:rsid w:val="00731B1F"/>
    <w:rsid w:val="00731E4F"/>
    <w:rsid w:val="007323F1"/>
    <w:rsid w:val="00734C17"/>
    <w:rsid w:val="00734D4A"/>
    <w:rsid w:val="0073531A"/>
    <w:rsid w:val="0073545C"/>
    <w:rsid w:val="00737914"/>
    <w:rsid w:val="00741436"/>
    <w:rsid w:val="00741F55"/>
    <w:rsid w:val="00742235"/>
    <w:rsid w:val="00743334"/>
    <w:rsid w:val="007466C5"/>
    <w:rsid w:val="00746CC2"/>
    <w:rsid w:val="0075027F"/>
    <w:rsid w:val="00750496"/>
    <w:rsid w:val="00750D55"/>
    <w:rsid w:val="00750E19"/>
    <w:rsid w:val="007535CB"/>
    <w:rsid w:val="00753B1C"/>
    <w:rsid w:val="00753DA6"/>
    <w:rsid w:val="0075461E"/>
    <w:rsid w:val="007563BB"/>
    <w:rsid w:val="007576DD"/>
    <w:rsid w:val="00757C48"/>
    <w:rsid w:val="00761A3D"/>
    <w:rsid w:val="007628B0"/>
    <w:rsid w:val="00763AAD"/>
    <w:rsid w:val="0076418E"/>
    <w:rsid w:val="0076452E"/>
    <w:rsid w:val="00766150"/>
    <w:rsid w:val="007664BC"/>
    <w:rsid w:val="00766C7B"/>
    <w:rsid w:val="00770B41"/>
    <w:rsid w:val="0077175C"/>
    <w:rsid w:val="00771C69"/>
    <w:rsid w:val="00772EE4"/>
    <w:rsid w:val="007737D1"/>
    <w:rsid w:val="00773A18"/>
    <w:rsid w:val="00777AC5"/>
    <w:rsid w:val="0078005C"/>
    <w:rsid w:val="00780256"/>
    <w:rsid w:val="00780E20"/>
    <w:rsid w:val="00782036"/>
    <w:rsid w:val="00782D47"/>
    <w:rsid w:val="00782DBC"/>
    <w:rsid w:val="00783392"/>
    <w:rsid w:val="0078416B"/>
    <w:rsid w:val="007845BB"/>
    <w:rsid w:val="0078555A"/>
    <w:rsid w:val="007875D0"/>
    <w:rsid w:val="00790952"/>
    <w:rsid w:val="00791BA5"/>
    <w:rsid w:val="00791F67"/>
    <w:rsid w:val="00792A92"/>
    <w:rsid w:val="00792B00"/>
    <w:rsid w:val="00793865"/>
    <w:rsid w:val="007971A8"/>
    <w:rsid w:val="00797C3C"/>
    <w:rsid w:val="007A0962"/>
    <w:rsid w:val="007A13F6"/>
    <w:rsid w:val="007A1442"/>
    <w:rsid w:val="007A156B"/>
    <w:rsid w:val="007A15B6"/>
    <w:rsid w:val="007A3869"/>
    <w:rsid w:val="007A3B34"/>
    <w:rsid w:val="007A3F44"/>
    <w:rsid w:val="007A40C6"/>
    <w:rsid w:val="007A42DB"/>
    <w:rsid w:val="007A4D35"/>
    <w:rsid w:val="007A4E50"/>
    <w:rsid w:val="007A7E3B"/>
    <w:rsid w:val="007B1242"/>
    <w:rsid w:val="007B18BB"/>
    <w:rsid w:val="007B2F8D"/>
    <w:rsid w:val="007B61B3"/>
    <w:rsid w:val="007B6BAD"/>
    <w:rsid w:val="007B7C33"/>
    <w:rsid w:val="007C01E2"/>
    <w:rsid w:val="007C0275"/>
    <w:rsid w:val="007C09B1"/>
    <w:rsid w:val="007C0E2F"/>
    <w:rsid w:val="007C1364"/>
    <w:rsid w:val="007C3F37"/>
    <w:rsid w:val="007C411B"/>
    <w:rsid w:val="007C4913"/>
    <w:rsid w:val="007C544C"/>
    <w:rsid w:val="007C5E84"/>
    <w:rsid w:val="007C6C74"/>
    <w:rsid w:val="007D0E43"/>
    <w:rsid w:val="007D0FE7"/>
    <w:rsid w:val="007D17B0"/>
    <w:rsid w:val="007D2663"/>
    <w:rsid w:val="007D27BD"/>
    <w:rsid w:val="007D43B6"/>
    <w:rsid w:val="007D4735"/>
    <w:rsid w:val="007D4D5F"/>
    <w:rsid w:val="007D66BA"/>
    <w:rsid w:val="007D6D33"/>
    <w:rsid w:val="007D6EC7"/>
    <w:rsid w:val="007D7AF0"/>
    <w:rsid w:val="007E0115"/>
    <w:rsid w:val="007E111F"/>
    <w:rsid w:val="007E1177"/>
    <w:rsid w:val="007E1D80"/>
    <w:rsid w:val="007E2A37"/>
    <w:rsid w:val="007E2A4E"/>
    <w:rsid w:val="007E3C74"/>
    <w:rsid w:val="007E4369"/>
    <w:rsid w:val="007E4B92"/>
    <w:rsid w:val="007E53D2"/>
    <w:rsid w:val="007E6725"/>
    <w:rsid w:val="007E6CB8"/>
    <w:rsid w:val="007E7784"/>
    <w:rsid w:val="007F19C7"/>
    <w:rsid w:val="007F5E7A"/>
    <w:rsid w:val="007F7271"/>
    <w:rsid w:val="007F7A34"/>
    <w:rsid w:val="008027D1"/>
    <w:rsid w:val="00803685"/>
    <w:rsid w:val="0080373E"/>
    <w:rsid w:val="0080519B"/>
    <w:rsid w:val="008060B3"/>
    <w:rsid w:val="00806746"/>
    <w:rsid w:val="0080786B"/>
    <w:rsid w:val="00807996"/>
    <w:rsid w:val="008107FC"/>
    <w:rsid w:val="00811895"/>
    <w:rsid w:val="00812D1B"/>
    <w:rsid w:val="00813C0F"/>
    <w:rsid w:val="008149EF"/>
    <w:rsid w:val="00815315"/>
    <w:rsid w:val="0081637E"/>
    <w:rsid w:val="00816C3F"/>
    <w:rsid w:val="0081774A"/>
    <w:rsid w:val="00817E23"/>
    <w:rsid w:val="00820925"/>
    <w:rsid w:val="00821D13"/>
    <w:rsid w:val="00825941"/>
    <w:rsid w:val="0082606E"/>
    <w:rsid w:val="00826883"/>
    <w:rsid w:val="00826AE5"/>
    <w:rsid w:val="008275D0"/>
    <w:rsid w:val="00833B72"/>
    <w:rsid w:val="008345E9"/>
    <w:rsid w:val="00836DFC"/>
    <w:rsid w:val="0083739E"/>
    <w:rsid w:val="00837CF7"/>
    <w:rsid w:val="0084088D"/>
    <w:rsid w:val="00840D7E"/>
    <w:rsid w:val="008414FC"/>
    <w:rsid w:val="00843A4F"/>
    <w:rsid w:val="00843D76"/>
    <w:rsid w:val="00843EB5"/>
    <w:rsid w:val="008440B5"/>
    <w:rsid w:val="008474C5"/>
    <w:rsid w:val="00847861"/>
    <w:rsid w:val="00847885"/>
    <w:rsid w:val="00851CD4"/>
    <w:rsid w:val="00854F86"/>
    <w:rsid w:val="008555CB"/>
    <w:rsid w:val="0085589B"/>
    <w:rsid w:val="00857F2B"/>
    <w:rsid w:val="00860ABA"/>
    <w:rsid w:val="00860DEC"/>
    <w:rsid w:val="00862BBB"/>
    <w:rsid w:val="00862BEB"/>
    <w:rsid w:val="0086472F"/>
    <w:rsid w:val="00865392"/>
    <w:rsid w:val="0086636D"/>
    <w:rsid w:val="0086640E"/>
    <w:rsid w:val="008665AE"/>
    <w:rsid w:val="00866BEB"/>
    <w:rsid w:val="008709B9"/>
    <w:rsid w:val="00870EFA"/>
    <w:rsid w:val="00872399"/>
    <w:rsid w:val="00874B28"/>
    <w:rsid w:val="00874F29"/>
    <w:rsid w:val="008765BA"/>
    <w:rsid w:val="00877E02"/>
    <w:rsid w:val="00880BE4"/>
    <w:rsid w:val="00881525"/>
    <w:rsid w:val="00885837"/>
    <w:rsid w:val="00885A36"/>
    <w:rsid w:val="0088691C"/>
    <w:rsid w:val="00887128"/>
    <w:rsid w:val="008871B3"/>
    <w:rsid w:val="008872E4"/>
    <w:rsid w:val="0089397C"/>
    <w:rsid w:val="00896560"/>
    <w:rsid w:val="00896998"/>
    <w:rsid w:val="0089762E"/>
    <w:rsid w:val="008A2CBE"/>
    <w:rsid w:val="008A3F46"/>
    <w:rsid w:val="008A3FF3"/>
    <w:rsid w:val="008A4430"/>
    <w:rsid w:val="008A4E25"/>
    <w:rsid w:val="008A5147"/>
    <w:rsid w:val="008A536E"/>
    <w:rsid w:val="008A5AD4"/>
    <w:rsid w:val="008A64E2"/>
    <w:rsid w:val="008A7AC4"/>
    <w:rsid w:val="008A7EA0"/>
    <w:rsid w:val="008B006E"/>
    <w:rsid w:val="008B0553"/>
    <w:rsid w:val="008B076C"/>
    <w:rsid w:val="008B164E"/>
    <w:rsid w:val="008B206B"/>
    <w:rsid w:val="008B2240"/>
    <w:rsid w:val="008B3636"/>
    <w:rsid w:val="008B4A70"/>
    <w:rsid w:val="008B500B"/>
    <w:rsid w:val="008B6D81"/>
    <w:rsid w:val="008B7430"/>
    <w:rsid w:val="008B7568"/>
    <w:rsid w:val="008C0BE2"/>
    <w:rsid w:val="008C0FA1"/>
    <w:rsid w:val="008C17F0"/>
    <w:rsid w:val="008C28FC"/>
    <w:rsid w:val="008C297C"/>
    <w:rsid w:val="008C2B7E"/>
    <w:rsid w:val="008C2C5B"/>
    <w:rsid w:val="008C312F"/>
    <w:rsid w:val="008C46EB"/>
    <w:rsid w:val="008C52A4"/>
    <w:rsid w:val="008C5D03"/>
    <w:rsid w:val="008C680C"/>
    <w:rsid w:val="008C6C94"/>
    <w:rsid w:val="008D1465"/>
    <w:rsid w:val="008D214F"/>
    <w:rsid w:val="008D4B5A"/>
    <w:rsid w:val="008D508C"/>
    <w:rsid w:val="008D66D8"/>
    <w:rsid w:val="008D6E4D"/>
    <w:rsid w:val="008D7272"/>
    <w:rsid w:val="008E07F7"/>
    <w:rsid w:val="008E09C8"/>
    <w:rsid w:val="008E119E"/>
    <w:rsid w:val="008E386C"/>
    <w:rsid w:val="008E3C94"/>
    <w:rsid w:val="008E4206"/>
    <w:rsid w:val="008E4398"/>
    <w:rsid w:val="008E43ED"/>
    <w:rsid w:val="008E6607"/>
    <w:rsid w:val="008F0B8D"/>
    <w:rsid w:val="008F1F15"/>
    <w:rsid w:val="008F2569"/>
    <w:rsid w:val="008F3076"/>
    <w:rsid w:val="008F3CBF"/>
    <w:rsid w:val="008F4180"/>
    <w:rsid w:val="008F4D46"/>
    <w:rsid w:val="008F4F1D"/>
    <w:rsid w:val="008F5785"/>
    <w:rsid w:val="008F5D21"/>
    <w:rsid w:val="008F6F30"/>
    <w:rsid w:val="009004C5"/>
    <w:rsid w:val="00900B94"/>
    <w:rsid w:val="00901AC0"/>
    <w:rsid w:val="00901FE5"/>
    <w:rsid w:val="0090290C"/>
    <w:rsid w:val="0090301E"/>
    <w:rsid w:val="0090320A"/>
    <w:rsid w:val="0090359F"/>
    <w:rsid w:val="0090412A"/>
    <w:rsid w:val="009046A5"/>
    <w:rsid w:val="00904F87"/>
    <w:rsid w:val="00907C7F"/>
    <w:rsid w:val="00910766"/>
    <w:rsid w:val="009139F1"/>
    <w:rsid w:val="009174CD"/>
    <w:rsid w:val="009206C1"/>
    <w:rsid w:val="009209A1"/>
    <w:rsid w:val="00922690"/>
    <w:rsid w:val="009227CA"/>
    <w:rsid w:val="00922E97"/>
    <w:rsid w:val="00923A4C"/>
    <w:rsid w:val="00923AD4"/>
    <w:rsid w:val="00925DED"/>
    <w:rsid w:val="009267BF"/>
    <w:rsid w:val="00926CF4"/>
    <w:rsid w:val="00926D7F"/>
    <w:rsid w:val="0092739D"/>
    <w:rsid w:val="00927A52"/>
    <w:rsid w:val="009302A6"/>
    <w:rsid w:val="009310BB"/>
    <w:rsid w:val="009313D5"/>
    <w:rsid w:val="009313F9"/>
    <w:rsid w:val="009314FD"/>
    <w:rsid w:val="009321B0"/>
    <w:rsid w:val="00932BAF"/>
    <w:rsid w:val="009330F6"/>
    <w:rsid w:val="00933C82"/>
    <w:rsid w:val="00933DE3"/>
    <w:rsid w:val="00934C2D"/>
    <w:rsid w:val="00934F02"/>
    <w:rsid w:val="0093549E"/>
    <w:rsid w:val="00936387"/>
    <w:rsid w:val="00937F94"/>
    <w:rsid w:val="009410B7"/>
    <w:rsid w:val="00942AAF"/>
    <w:rsid w:val="0094657E"/>
    <w:rsid w:val="00946867"/>
    <w:rsid w:val="009471DB"/>
    <w:rsid w:val="0095019F"/>
    <w:rsid w:val="0095030C"/>
    <w:rsid w:val="009509F8"/>
    <w:rsid w:val="009523F8"/>
    <w:rsid w:val="00952B04"/>
    <w:rsid w:val="009544EA"/>
    <w:rsid w:val="009562D7"/>
    <w:rsid w:val="00956BF9"/>
    <w:rsid w:val="0096055A"/>
    <w:rsid w:val="00962599"/>
    <w:rsid w:val="00963AB4"/>
    <w:rsid w:val="00963F2F"/>
    <w:rsid w:val="00964735"/>
    <w:rsid w:val="00965403"/>
    <w:rsid w:val="00966427"/>
    <w:rsid w:val="009667B6"/>
    <w:rsid w:val="0096780E"/>
    <w:rsid w:val="00975AC4"/>
    <w:rsid w:val="00975C4C"/>
    <w:rsid w:val="009761A1"/>
    <w:rsid w:val="00977227"/>
    <w:rsid w:val="00980A9B"/>
    <w:rsid w:val="0098195A"/>
    <w:rsid w:val="009847F2"/>
    <w:rsid w:val="00986496"/>
    <w:rsid w:val="009874F7"/>
    <w:rsid w:val="009904C3"/>
    <w:rsid w:val="009920C7"/>
    <w:rsid w:val="0099444B"/>
    <w:rsid w:val="00994797"/>
    <w:rsid w:val="009955C0"/>
    <w:rsid w:val="009970CA"/>
    <w:rsid w:val="009A10E8"/>
    <w:rsid w:val="009A14B8"/>
    <w:rsid w:val="009A2B3C"/>
    <w:rsid w:val="009A3A85"/>
    <w:rsid w:val="009A679D"/>
    <w:rsid w:val="009A6A59"/>
    <w:rsid w:val="009A6C1A"/>
    <w:rsid w:val="009A6D20"/>
    <w:rsid w:val="009A7AC0"/>
    <w:rsid w:val="009B1BA2"/>
    <w:rsid w:val="009B48BE"/>
    <w:rsid w:val="009B4F51"/>
    <w:rsid w:val="009B4F6F"/>
    <w:rsid w:val="009B57A7"/>
    <w:rsid w:val="009B5BE4"/>
    <w:rsid w:val="009B5E2F"/>
    <w:rsid w:val="009B62F5"/>
    <w:rsid w:val="009C0D42"/>
    <w:rsid w:val="009C17F1"/>
    <w:rsid w:val="009C1CFB"/>
    <w:rsid w:val="009C2043"/>
    <w:rsid w:val="009C2673"/>
    <w:rsid w:val="009C3066"/>
    <w:rsid w:val="009C4520"/>
    <w:rsid w:val="009C5C73"/>
    <w:rsid w:val="009D08B9"/>
    <w:rsid w:val="009D15AC"/>
    <w:rsid w:val="009D1A80"/>
    <w:rsid w:val="009D2116"/>
    <w:rsid w:val="009D22D8"/>
    <w:rsid w:val="009D3018"/>
    <w:rsid w:val="009D5649"/>
    <w:rsid w:val="009D5E7D"/>
    <w:rsid w:val="009D615A"/>
    <w:rsid w:val="009D6BBA"/>
    <w:rsid w:val="009D6F0D"/>
    <w:rsid w:val="009E1944"/>
    <w:rsid w:val="009E232E"/>
    <w:rsid w:val="009E24AD"/>
    <w:rsid w:val="009E3AFE"/>
    <w:rsid w:val="009E5825"/>
    <w:rsid w:val="009E61FF"/>
    <w:rsid w:val="009E6BDF"/>
    <w:rsid w:val="009E720E"/>
    <w:rsid w:val="009E79A6"/>
    <w:rsid w:val="009F0B19"/>
    <w:rsid w:val="009F13EA"/>
    <w:rsid w:val="009F16B3"/>
    <w:rsid w:val="009F3497"/>
    <w:rsid w:val="009F40C0"/>
    <w:rsid w:val="009F525D"/>
    <w:rsid w:val="009F56CD"/>
    <w:rsid w:val="009F6032"/>
    <w:rsid w:val="009F6E5A"/>
    <w:rsid w:val="00A0385C"/>
    <w:rsid w:val="00A03EF4"/>
    <w:rsid w:val="00A05BB7"/>
    <w:rsid w:val="00A05CEB"/>
    <w:rsid w:val="00A05FFC"/>
    <w:rsid w:val="00A064C0"/>
    <w:rsid w:val="00A06AD2"/>
    <w:rsid w:val="00A07FFA"/>
    <w:rsid w:val="00A12C18"/>
    <w:rsid w:val="00A136F7"/>
    <w:rsid w:val="00A17801"/>
    <w:rsid w:val="00A2263D"/>
    <w:rsid w:val="00A234C2"/>
    <w:rsid w:val="00A23910"/>
    <w:rsid w:val="00A24938"/>
    <w:rsid w:val="00A24A14"/>
    <w:rsid w:val="00A24B67"/>
    <w:rsid w:val="00A24BDB"/>
    <w:rsid w:val="00A25AAE"/>
    <w:rsid w:val="00A25D24"/>
    <w:rsid w:val="00A27FA1"/>
    <w:rsid w:val="00A3022D"/>
    <w:rsid w:val="00A302E2"/>
    <w:rsid w:val="00A33865"/>
    <w:rsid w:val="00A35584"/>
    <w:rsid w:val="00A35595"/>
    <w:rsid w:val="00A367B7"/>
    <w:rsid w:val="00A42A76"/>
    <w:rsid w:val="00A42D44"/>
    <w:rsid w:val="00A43D32"/>
    <w:rsid w:val="00A4760B"/>
    <w:rsid w:val="00A47A4F"/>
    <w:rsid w:val="00A508DA"/>
    <w:rsid w:val="00A52065"/>
    <w:rsid w:val="00A53D74"/>
    <w:rsid w:val="00A5409A"/>
    <w:rsid w:val="00A55CC6"/>
    <w:rsid w:val="00A56921"/>
    <w:rsid w:val="00A56D33"/>
    <w:rsid w:val="00A57231"/>
    <w:rsid w:val="00A57492"/>
    <w:rsid w:val="00A62507"/>
    <w:rsid w:val="00A62C5A"/>
    <w:rsid w:val="00A64555"/>
    <w:rsid w:val="00A6481E"/>
    <w:rsid w:val="00A65627"/>
    <w:rsid w:val="00A66574"/>
    <w:rsid w:val="00A70FB2"/>
    <w:rsid w:val="00A71AFC"/>
    <w:rsid w:val="00A71E53"/>
    <w:rsid w:val="00A73135"/>
    <w:rsid w:val="00A73977"/>
    <w:rsid w:val="00A73A3E"/>
    <w:rsid w:val="00A73AB8"/>
    <w:rsid w:val="00A74ED0"/>
    <w:rsid w:val="00A75039"/>
    <w:rsid w:val="00A75F8A"/>
    <w:rsid w:val="00A763C7"/>
    <w:rsid w:val="00A76679"/>
    <w:rsid w:val="00A76CFC"/>
    <w:rsid w:val="00A77A28"/>
    <w:rsid w:val="00A80E84"/>
    <w:rsid w:val="00A840FB"/>
    <w:rsid w:val="00A84780"/>
    <w:rsid w:val="00A85586"/>
    <w:rsid w:val="00A85B89"/>
    <w:rsid w:val="00A85DD7"/>
    <w:rsid w:val="00A877C5"/>
    <w:rsid w:val="00A90A86"/>
    <w:rsid w:val="00A915E1"/>
    <w:rsid w:val="00A92B93"/>
    <w:rsid w:val="00A93EE1"/>
    <w:rsid w:val="00A94ECE"/>
    <w:rsid w:val="00A954EB"/>
    <w:rsid w:val="00A9630E"/>
    <w:rsid w:val="00A979C3"/>
    <w:rsid w:val="00A97F05"/>
    <w:rsid w:val="00AA20EE"/>
    <w:rsid w:val="00AA2FC9"/>
    <w:rsid w:val="00AA32D3"/>
    <w:rsid w:val="00AA34B2"/>
    <w:rsid w:val="00AA3D2F"/>
    <w:rsid w:val="00AA4688"/>
    <w:rsid w:val="00AA5261"/>
    <w:rsid w:val="00AA75A6"/>
    <w:rsid w:val="00AA7C62"/>
    <w:rsid w:val="00AB1AF3"/>
    <w:rsid w:val="00AB2F0F"/>
    <w:rsid w:val="00AB347B"/>
    <w:rsid w:val="00AB3B0A"/>
    <w:rsid w:val="00AB3FB5"/>
    <w:rsid w:val="00AB51EF"/>
    <w:rsid w:val="00AB68F7"/>
    <w:rsid w:val="00AB6A37"/>
    <w:rsid w:val="00AB6B3C"/>
    <w:rsid w:val="00AB6D07"/>
    <w:rsid w:val="00AB7920"/>
    <w:rsid w:val="00AB7DEF"/>
    <w:rsid w:val="00AC1A3A"/>
    <w:rsid w:val="00AC1AE0"/>
    <w:rsid w:val="00AC1CEB"/>
    <w:rsid w:val="00AC2F96"/>
    <w:rsid w:val="00AC49FD"/>
    <w:rsid w:val="00AC6109"/>
    <w:rsid w:val="00AC6811"/>
    <w:rsid w:val="00AD10CF"/>
    <w:rsid w:val="00AD145E"/>
    <w:rsid w:val="00AD16D5"/>
    <w:rsid w:val="00AD1B4A"/>
    <w:rsid w:val="00AD1BB4"/>
    <w:rsid w:val="00AD2148"/>
    <w:rsid w:val="00AD26F5"/>
    <w:rsid w:val="00AD3A8F"/>
    <w:rsid w:val="00AD5A83"/>
    <w:rsid w:val="00AD696E"/>
    <w:rsid w:val="00AD7B17"/>
    <w:rsid w:val="00AE19F3"/>
    <w:rsid w:val="00AE220E"/>
    <w:rsid w:val="00AE23DE"/>
    <w:rsid w:val="00AE2867"/>
    <w:rsid w:val="00AE4009"/>
    <w:rsid w:val="00AE508E"/>
    <w:rsid w:val="00AE5FC4"/>
    <w:rsid w:val="00AE6197"/>
    <w:rsid w:val="00AE676D"/>
    <w:rsid w:val="00AE6AE4"/>
    <w:rsid w:val="00AE6EB5"/>
    <w:rsid w:val="00AE74F1"/>
    <w:rsid w:val="00AE7B6F"/>
    <w:rsid w:val="00AE7CA9"/>
    <w:rsid w:val="00AF3438"/>
    <w:rsid w:val="00AF3440"/>
    <w:rsid w:val="00AF36BB"/>
    <w:rsid w:val="00AF3A02"/>
    <w:rsid w:val="00AF3F77"/>
    <w:rsid w:val="00AF4770"/>
    <w:rsid w:val="00AF4A99"/>
    <w:rsid w:val="00AF4BEA"/>
    <w:rsid w:val="00AF5D7D"/>
    <w:rsid w:val="00AF6587"/>
    <w:rsid w:val="00AF66BC"/>
    <w:rsid w:val="00AF7053"/>
    <w:rsid w:val="00B006A4"/>
    <w:rsid w:val="00B01678"/>
    <w:rsid w:val="00B025D9"/>
    <w:rsid w:val="00B1083E"/>
    <w:rsid w:val="00B13DE4"/>
    <w:rsid w:val="00B14730"/>
    <w:rsid w:val="00B1563E"/>
    <w:rsid w:val="00B16455"/>
    <w:rsid w:val="00B1674A"/>
    <w:rsid w:val="00B16BCA"/>
    <w:rsid w:val="00B17336"/>
    <w:rsid w:val="00B17A7A"/>
    <w:rsid w:val="00B181F0"/>
    <w:rsid w:val="00B20768"/>
    <w:rsid w:val="00B2080E"/>
    <w:rsid w:val="00B20C6D"/>
    <w:rsid w:val="00B23FC3"/>
    <w:rsid w:val="00B248E0"/>
    <w:rsid w:val="00B33237"/>
    <w:rsid w:val="00B37293"/>
    <w:rsid w:val="00B37843"/>
    <w:rsid w:val="00B40128"/>
    <w:rsid w:val="00B42F5F"/>
    <w:rsid w:val="00B43EBB"/>
    <w:rsid w:val="00B45BED"/>
    <w:rsid w:val="00B470BB"/>
    <w:rsid w:val="00B47D6C"/>
    <w:rsid w:val="00B47DAA"/>
    <w:rsid w:val="00B47F50"/>
    <w:rsid w:val="00B52A55"/>
    <w:rsid w:val="00B52F4E"/>
    <w:rsid w:val="00B53267"/>
    <w:rsid w:val="00B534A8"/>
    <w:rsid w:val="00B53E97"/>
    <w:rsid w:val="00B54A32"/>
    <w:rsid w:val="00B6045D"/>
    <w:rsid w:val="00B609F9"/>
    <w:rsid w:val="00B623F9"/>
    <w:rsid w:val="00B62BC9"/>
    <w:rsid w:val="00B6360F"/>
    <w:rsid w:val="00B63992"/>
    <w:rsid w:val="00B642EB"/>
    <w:rsid w:val="00B65D42"/>
    <w:rsid w:val="00B66980"/>
    <w:rsid w:val="00B67193"/>
    <w:rsid w:val="00B678CB"/>
    <w:rsid w:val="00B7047E"/>
    <w:rsid w:val="00B72C1B"/>
    <w:rsid w:val="00B72D94"/>
    <w:rsid w:val="00B73749"/>
    <w:rsid w:val="00B738A9"/>
    <w:rsid w:val="00B7571E"/>
    <w:rsid w:val="00B75CDA"/>
    <w:rsid w:val="00B82490"/>
    <w:rsid w:val="00B82B5D"/>
    <w:rsid w:val="00B840D8"/>
    <w:rsid w:val="00B8536C"/>
    <w:rsid w:val="00B858EA"/>
    <w:rsid w:val="00B869D4"/>
    <w:rsid w:val="00B86A3C"/>
    <w:rsid w:val="00B90F68"/>
    <w:rsid w:val="00B93581"/>
    <w:rsid w:val="00B940C1"/>
    <w:rsid w:val="00B94380"/>
    <w:rsid w:val="00B95348"/>
    <w:rsid w:val="00B9597D"/>
    <w:rsid w:val="00B95ABE"/>
    <w:rsid w:val="00B96206"/>
    <w:rsid w:val="00B9693A"/>
    <w:rsid w:val="00BA0000"/>
    <w:rsid w:val="00BA0660"/>
    <w:rsid w:val="00BA07E4"/>
    <w:rsid w:val="00BA0B66"/>
    <w:rsid w:val="00BA36FB"/>
    <w:rsid w:val="00BA4056"/>
    <w:rsid w:val="00BA4C7E"/>
    <w:rsid w:val="00BA5023"/>
    <w:rsid w:val="00BA57A2"/>
    <w:rsid w:val="00BA5888"/>
    <w:rsid w:val="00BA6B68"/>
    <w:rsid w:val="00BA74CA"/>
    <w:rsid w:val="00BB099A"/>
    <w:rsid w:val="00BB18E6"/>
    <w:rsid w:val="00BB5369"/>
    <w:rsid w:val="00BB5AC4"/>
    <w:rsid w:val="00BB66DB"/>
    <w:rsid w:val="00BB68A4"/>
    <w:rsid w:val="00BC1AA2"/>
    <w:rsid w:val="00BC387D"/>
    <w:rsid w:val="00BC3E5B"/>
    <w:rsid w:val="00BC40DA"/>
    <w:rsid w:val="00BC5ACA"/>
    <w:rsid w:val="00BC6147"/>
    <w:rsid w:val="00BC7BCF"/>
    <w:rsid w:val="00BC7EC3"/>
    <w:rsid w:val="00BD1445"/>
    <w:rsid w:val="00BD267C"/>
    <w:rsid w:val="00BD2A21"/>
    <w:rsid w:val="00BD2ADC"/>
    <w:rsid w:val="00BD2B14"/>
    <w:rsid w:val="00BD41F1"/>
    <w:rsid w:val="00BD4C41"/>
    <w:rsid w:val="00BD5757"/>
    <w:rsid w:val="00BD7866"/>
    <w:rsid w:val="00BE2679"/>
    <w:rsid w:val="00BE2A26"/>
    <w:rsid w:val="00BE2F91"/>
    <w:rsid w:val="00BE3F3D"/>
    <w:rsid w:val="00BE6378"/>
    <w:rsid w:val="00BE64EA"/>
    <w:rsid w:val="00BE6AD1"/>
    <w:rsid w:val="00BE7720"/>
    <w:rsid w:val="00BE7A1D"/>
    <w:rsid w:val="00BE7C15"/>
    <w:rsid w:val="00BF1068"/>
    <w:rsid w:val="00BF3225"/>
    <w:rsid w:val="00BF478A"/>
    <w:rsid w:val="00BF4F82"/>
    <w:rsid w:val="00BF6900"/>
    <w:rsid w:val="00BF6C69"/>
    <w:rsid w:val="00C0075D"/>
    <w:rsid w:val="00C0163F"/>
    <w:rsid w:val="00C03DE3"/>
    <w:rsid w:val="00C10128"/>
    <w:rsid w:val="00C101E8"/>
    <w:rsid w:val="00C12760"/>
    <w:rsid w:val="00C12834"/>
    <w:rsid w:val="00C128C6"/>
    <w:rsid w:val="00C146C6"/>
    <w:rsid w:val="00C1670F"/>
    <w:rsid w:val="00C176D4"/>
    <w:rsid w:val="00C20B93"/>
    <w:rsid w:val="00C20E47"/>
    <w:rsid w:val="00C21463"/>
    <w:rsid w:val="00C22F33"/>
    <w:rsid w:val="00C22F71"/>
    <w:rsid w:val="00C23C37"/>
    <w:rsid w:val="00C24BB3"/>
    <w:rsid w:val="00C24F46"/>
    <w:rsid w:val="00C25BFB"/>
    <w:rsid w:val="00C25FCB"/>
    <w:rsid w:val="00C3098B"/>
    <w:rsid w:val="00C309BF"/>
    <w:rsid w:val="00C31264"/>
    <w:rsid w:val="00C31276"/>
    <w:rsid w:val="00C322E5"/>
    <w:rsid w:val="00C32315"/>
    <w:rsid w:val="00C32F4D"/>
    <w:rsid w:val="00C33C97"/>
    <w:rsid w:val="00C346FC"/>
    <w:rsid w:val="00C35E93"/>
    <w:rsid w:val="00C35E9A"/>
    <w:rsid w:val="00C35F02"/>
    <w:rsid w:val="00C40945"/>
    <w:rsid w:val="00C41244"/>
    <w:rsid w:val="00C434EF"/>
    <w:rsid w:val="00C43F2A"/>
    <w:rsid w:val="00C4570D"/>
    <w:rsid w:val="00C47A77"/>
    <w:rsid w:val="00C50AE8"/>
    <w:rsid w:val="00C51187"/>
    <w:rsid w:val="00C51C75"/>
    <w:rsid w:val="00C51EE7"/>
    <w:rsid w:val="00C52F04"/>
    <w:rsid w:val="00C53378"/>
    <w:rsid w:val="00C5369D"/>
    <w:rsid w:val="00C54B1F"/>
    <w:rsid w:val="00C5532D"/>
    <w:rsid w:val="00C56853"/>
    <w:rsid w:val="00C5779B"/>
    <w:rsid w:val="00C639B7"/>
    <w:rsid w:val="00C658C6"/>
    <w:rsid w:val="00C671E7"/>
    <w:rsid w:val="00C67EE3"/>
    <w:rsid w:val="00C70700"/>
    <w:rsid w:val="00C71ACE"/>
    <w:rsid w:val="00C72B53"/>
    <w:rsid w:val="00C74D25"/>
    <w:rsid w:val="00C752E7"/>
    <w:rsid w:val="00C75C1B"/>
    <w:rsid w:val="00C80635"/>
    <w:rsid w:val="00C8096B"/>
    <w:rsid w:val="00C80D8E"/>
    <w:rsid w:val="00C813B1"/>
    <w:rsid w:val="00C82332"/>
    <w:rsid w:val="00C82780"/>
    <w:rsid w:val="00C8287C"/>
    <w:rsid w:val="00C83D87"/>
    <w:rsid w:val="00C85FA9"/>
    <w:rsid w:val="00C8627E"/>
    <w:rsid w:val="00C867F9"/>
    <w:rsid w:val="00C92268"/>
    <w:rsid w:val="00C92CC5"/>
    <w:rsid w:val="00C936F8"/>
    <w:rsid w:val="00C94320"/>
    <w:rsid w:val="00C956BF"/>
    <w:rsid w:val="00C9726C"/>
    <w:rsid w:val="00C97A9D"/>
    <w:rsid w:val="00CA10D6"/>
    <w:rsid w:val="00CA2431"/>
    <w:rsid w:val="00CA5276"/>
    <w:rsid w:val="00CA5356"/>
    <w:rsid w:val="00CA573F"/>
    <w:rsid w:val="00CA6091"/>
    <w:rsid w:val="00CA76E3"/>
    <w:rsid w:val="00CB04C1"/>
    <w:rsid w:val="00CB0531"/>
    <w:rsid w:val="00CB1626"/>
    <w:rsid w:val="00CB244E"/>
    <w:rsid w:val="00CB4BC3"/>
    <w:rsid w:val="00CB648D"/>
    <w:rsid w:val="00CB7A9F"/>
    <w:rsid w:val="00CB7E17"/>
    <w:rsid w:val="00CC106D"/>
    <w:rsid w:val="00CC119C"/>
    <w:rsid w:val="00CC4D96"/>
    <w:rsid w:val="00CC64BA"/>
    <w:rsid w:val="00CD00BE"/>
    <w:rsid w:val="00CD010B"/>
    <w:rsid w:val="00CD2DAB"/>
    <w:rsid w:val="00CD2E84"/>
    <w:rsid w:val="00CD3223"/>
    <w:rsid w:val="00CD37DF"/>
    <w:rsid w:val="00CD495D"/>
    <w:rsid w:val="00CD4EEB"/>
    <w:rsid w:val="00CD5727"/>
    <w:rsid w:val="00CD5D60"/>
    <w:rsid w:val="00CD67CB"/>
    <w:rsid w:val="00CD6B4B"/>
    <w:rsid w:val="00CE021E"/>
    <w:rsid w:val="00CE1502"/>
    <w:rsid w:val="00CE1829"/>
    <w:rsid w:val="00CE1B20"/>
    <w:rsid w:val="00CE1BD7"/>
    <w:rsid w:val="00CE1F95"/>
    <w:rsid w:val="00CE2D42"/>
    <w:rsid w:val="00CE373D"/>
    <w:rsid w:val="00CE432E"/>
    <w:rsid w:val="00CE49CA"/>
    <w:rsid w:val="00CE72D5"/>
    <w:rsid w:val="00CE7FDA"/>
    <w:rsid w:val="00CF07B3"/>
    <w:rsid w:val="00CF0A9B"/>
    <w:rsid w:val="00CF1178"/>
    <w:rsid w:val="00CF1790"/>
    <w:rsid w:val="00CF1C3D"/>
    <w:rsid w:val="00CF2490"/>
    <w:rsid w:val="00CF2A91"/>
    <w:rsid w:val="00CF2AC4"/>
    <w:rsid w:val="00CF4669"/>
    <w:rsid w:val="00CF4C35"/>
    <w:rsid w:val="00CF6B48"/>
    <w:rsid w:val="00D00AD9"/>
    <w:rsid w:val="00D016DA"/>
    <w:rsid w:val="00D02233"/>
    <w:rsid w:val="00D02DC6"/>
    <w:rsid w:val="00D0342C"/>
    <w:rsid w:val="00D042E8"/>
    <w:rsid w:val="00D043D9"/>
    <w:rsid w:val="00D05678"/>
    <w:rsid w:val="00D05A87"/>
    <w:rsid w:val="00D0606B"/>
    <w:rsid w:val="00D07AAA"/>
    <w:rsid w:val="00D10936"/>
    <w:rsid w:val="00D134BE"/>
    <w:rsid w:val="00D14213"/>
    <w:rsid w:val="00D14EA3"/>
    <w:rsid w:val="00D152C1"/>
    <w:rsid w:val="00D162B6"/>
    <w:rsid w:val="00D1652F"/>
    <w:rsid w:val="00D175E7"/>
    <w:rsid w:val="00D1774E"/>
    <w:rsid w:val="00D17BEC"/>
    <w:rsid w:val="00D2064A"/>
    <w:rsid w:val="00D208FE"/>
    <w:rsid w:val="00D21774"/>
    <w:rsid w:val="00D221C5"/>
    <w:rsid w:val="00D2390D"/>
    <w:rsid w:val="00D27DF6"/>
    <w:rsid w:val="00D31E07"/>
    <w:rsid w:val="00D347A4"/>
    <w:rsid w:val="00D34810"/>
    <w:rsid w:val="00D34A91"/>
    <w:rsid w:val="00D351CE"/>
    <w:rsid w:val="00D3742A"/>
    <w:rsid w:val="00D40B1F"/>
    <w:rsid w:val="00D40EEC"/>
    <w:rsid w:val="00D416FA"/>
    <w:rsid w:val="00D425B2"/>
    <w:rsid w:val="00D4345E"/>
    <w:rsid w:val="00D43AAD"/>
    <w:rsid w:val="00D4434F"/>
    <w:rsid w:val="00D45299"/>
    <w:rsid w:val="00D45C6E"/>
    <w:rsid w:val="00D51E04"/>
    <w:rsid w:val="00D522E7"/>
    <w:rsid w:val="00D5266E"/>
    <w:rsid w:val="00D5298B"/>
    <w:rsid w:val="00D555D6"/>
    <w:rsid w:val="00D561BA"/>
    <w:rsid w:val="00D56257"/>
    <w:rsid w:val="00D56613"/>
    <w:rsid w:val="00D56795"/>
    <w:rsid w:val="00D56C0B"/>
    <w:rsid w:val="00D56ECC"/>
    <w:rsid w:val="00D57090"/>
    <w:rsid w:val="00D643D2"/>
    <w:rsid w:val="00D656D6"/>
    <w:rsid w:val="00D6584D"/>
    <w:rsid w:val="00D66B9D"/>
    <w:rsid w:val="00D67A8D"/>
    <w:rsid w:val="00D70961"/>
    <w:rsid w:val="00D72E50"/>
    <w:rsid w:val="00D744FB"/>
    <w:rsid w:val="00D745FB"/>
    <w:rsid w:val="00D7487F"/>
    <w:rsid w:val="00D76296"/>
    <w:rsid w:val="00D7659B"/>
    <w:rsid w:val="00D767BC"/>
    <w:rsid w:val="00D76AA9"/>
    <w:rsid w:val="00D77B59"/>
    <w:rsid w:val="00D81DF7"/>
    <w:rsid w:val="00D840B6"/>
    <w:rsid w:val="00D856AF"/>
    <w:rsid w:val="00D856E5"/>
    <w:rsid w:val="00D869DB"/>
    <w:rsid w:val="00D91D89"/>
    <w:rsid w:val="00D9417A"/>
    <w:rsid w:val="00D94CA7"/>
    <w:rsid w:val="00D95E7D"/>
    <w:rsid w:val="00DA046C"/>
    <w:rsid w:val="00DA0857"/>
    <w:rsid w:val="00DA1111"/>
    <w:rsid w:val="00DA4B7E"/>
    <w:rsid w:val="00DA621E"/>
    <w:rsid w:val="00DA6AD4"/>
    <w:rsid w:val="00DA70F5"/>
    <w:rsid w:val="00DB0D44"/>
    <w:rsid w:val="00DB147A"/>
    <w:rsid w:val="00DB2B61"/>
    <w:rsid w:val="00DB4B2E"/>
    <w:rsid w:val="00DB53F5"/>
    <w:rsid w:val="00DB6024"/>
    <w:rsid w:val="00DB6412"/>
    <w:rsid w:val="00DB7C24"/>
    <w:rsid w:val="00DC05D5"/>
    <w:rsid w:val="00DC1580"/>
    <w:rsid w:val="00DC228D"/>
    <w:rsid w:val="00DC240B"/>
    <w:rsid w:val="00DC268E"/>
    <w:rsid w:val="00DC4893"/>
    <w:rsid w:val="00DC4F42"/>
    <w:rsid w:val="00DC66E5"/>
    <w:rsid w:val="00DC70B6"/>
    <w:rsid w:val="00DD01EF"/>
    <w:rsid w:val="00DD0737"/>
    <w:rsid w:val="00DD159A"/>
    <w:rsid w:val="00DD15A9"/>
    <w:rsid w:val="00DD2215"/>
    <w:rsid w:val="00DD2854"/>
    <w:rsid w:val="00DD3444"/>
    <w:rsid w:val="00DD3A87"/>
    <w:rsid w:val="00DD3D90"/>
    <w:rsid w:val="00DD477D"/>
    <w:rsid w:val="00DD58DE"/>
    <w:rsid w:val="00DD59B4"/>
    <w:rsid w:val="00DD65E7"/>
    <w:rsid w:val="00DD7454"/>
    <w:rsid w:val="00DE0C52"/>
    <w:rsid w:val="00DE5C56"/>
    <w:rsid w:val="00DE604C"/>
    <w:rsid w:val="00DE68B5"/>
    <w:rsid w:val="00DE6A34"/>
    <w:rsid w:val="00DE7A28"/>
    <w:rsid w:val="00DE7E0B"/>
    <w:rsid w:val="00DF07DD"/>
    <w:rsid w:val="00DF32D8"/>
    <w:rsid w:val="00DF3569"/>
    <w:rsid w:val="00DF3CCC"/>
    <w:rsid w:val="00DF4FE6"/>
    <w:rsid w:val="00DF6EF3"/>
    <w:rsid w:val="00E00A15"/>
    <w:rsid w:val="00E00C3D"/>
    <w:rsid w:val="00E012BF"/>
    <w:rsid w:val="00E0179B"/>
    <w:rsid w:val="00E017D3"/>
    <w:rsid w:val="00E01994"/>
    <w:rsid w:val="00E019EC"/>
    <w:rsid w:val="00E01F37"/>
    <w:rsid w:val="00E03333"/>
    <w:rsid w:val="00E04264"/>
    <w:rsid w:val="00E049D1"/>
    <w:rsid w:val="00E06CD8"/>
    <w:rsid w:val="00E06F7A"/>
    <w:rsid w:val="00E06FF0"/>
    <w:rsid w:val="00E0791C"/>
    <w:rsid w:val="00E10AEE"/>
    <w:rsid w:val="00E1198F"/>
    <w:rsid w:val="00E12385"/>
    <w:rsid w:val="00E139C0"/>
    <w:rsid w:val="00E14413"/>
    <w:rsid w:val="00E14670"/>
    <w:rsid w:val="00E147DA"/>
    <w:rsid w:val="00E151B3"/>
    <w:rsid w:val="00E164F0"/>
    <w:rsid w:val="00E16A0B"/>
    <w:rsid w:val="00E20A40"/>
    <w:rsid w:val="00E24737"/>
    <w:rsid w:val="00E25802"/>
    <w:rsid w:val="00E25E3D"/>
    <w:rsid w:val="00E261C4"/>
    <w:rsid w:val="00E2648D"/>
    <w:rsid w:val="00E26D17"/>
    <w:rsid w:val="00E3060F"/>
    <w:rsid w:val="00E3253A"/>
    <w:rsid w:val="00E33258"/>
    <w:rsid w:val="00E33E9D"/>
    <w:rsid w:val="00E348B2"/>
    <w:rsid w:val="00E358D4"/>
    <w:rsid w:val="00E37509"/>
    <w:rsid w:val="00E37613"/>
    <w:rsid w:val="00E42064"/>
    <w:rsid w:val="00E423F1"/>
    <w:rsid w:val="00E436C6"/>
    <w:rsid w:val="00E439BD"/>
    <w:rsid w:val="00E44CA6"/>
    <w:rsid w:val="00E458FF"/>
    <w:rsid w:val="00E45A0B"/>
    <w:rsid w:val="00E467D0"/>
    <w:rsid w:val="00E51E9C"/>
    <w:rsid w:val="00E52638"/>
    <w:rsid w:val="00E52BF6"/>
    <w:rsid w:val="00E53685"/>
    <w:rsid w:val="00E5477A"/>
    <w:rsid w:val="00E54CEC"/>
    <w:rsid w:val="00E54DB5"/>
    <w:rsid w:val="00E55101"/>
    <w:rsid w:val="00E554AC"/>
    <w:rsid w:val="00E55730"/>
    <w:rsid w:val="00E5680B"/>
    <w:rsid w:val="00E5684C"/>
    <w:rsid w:val="00E56FE8"/>
    <w:rsid w:val="00E62278"/>
    <w:rsid w:val="00E62279"/>
    <w:rsid w:val="00E64CD2"/>
    <w:rsid w:val="00E64EF3"/>
    <w:rsid w:val="00E654D2"/>
    <w:rsid w:val="00E6588D"/>
    <w:rsid w:val="00E65916"/>
    <w:rsid w:val="00E676C6"/>
    <w:rsid w:val="00E67904"/>
    <w:rsid w:val="00E6792C"/>
    <w:rsid w:val="00E70389"/>
    <w:rsid w:val="00E71175"/>
    <w:rsid w:val="00E7220B"/>
    <w:rsid w:val="00E737CD"/>
    <w:rsid w:val="00E73996"/>
    <w:rsid w:val="00E75FBE"/>
    <w:rsid w:val="00E76844"/>
    <w:rsid w:val="00E80B1C"/>
    <w:rsid w:val="00E82647"/>
    <w:rsid w:val="00E842A2"/>
    <w:rsid w:val="00E8554B"/>
    <w:rsid w:val="00E85B56"/>
    <w:rsid w:val="00E85EE6"/>
    <w:rsid w:val="00E860E8"/>
    <w:rsid w:val="00E861C2"/>
    <w:rsid w:val="00E86AFF"/>
    <w:rsid w:val="00E87DE3"/>
    <w:rsid w:val="00E90F80"/>
    <w:rsid w:val="00E90FEC"/>
    <w:rsid w:val="00E91257"/>
    <w:rsid w:val="00E91937"/>
    <w:rsid w:val="00E91DAC"/>
    <w:rsid w:val="00E9288F"/>
    <w:rsid w:val="00E939F9"/>
    <w:rsid w:val="00E93C6C"/>
    <w:rsid w:val="00E93FB8"/>
    <w:rsid w:val="00E944F2"/>
    <w:rsid w:val="00E95EBF"/>
    <w:rsid w:val="00E97259"/>
    <w:rsid w:val="00EA0CE9"/>
    <w:rsid w:val="00EA17BB"/>
    <w:rsid w:val="00EA4FB6"/>
    <w:rsid w:val="00EA4FC0"/>
    <w:rsid w:val="00EA56D9"/>
    <w:rsid w:val="00EA59D3"/>
    <w:rsid w:val="00EA68E8"/>
    <w:rsid w:val="00EA7061"/>
    <w:rsid w:val="00EB02FE"/>
    <w:rsid w:val="00EB3DFF"/>
    <w:rsid w:val="00EB538D"/>
    <w:rsid w:val="00EB6201"/>
    <w:rsid w:val="00EC046B"/>
    <w:rsid w:val="00EC08EC"/>
    <w:rsid w:val="00EC0A0E"/>
    <w:rsid w:val="00EC0A40"/>
    <w:rsid w:val="00EC1FC6"/>
    <w:rsid w:val="00EC225F"/>
    <w:rsid w:val="00EC248A"/>
    <w:rsid w:val="00EC3672"/>
    <w:rsid w:val="00EC3BD0"/>
    <w:rsid w:val="00EC3CAA"/>
    <w:rsid w:val="00EC5692"/>
    <w:rsid w:val="00EC630A"/>
    <w:rsid w:val="00EC6921"/>
    <w:rsid w:val="00EC7110"/>
    <w:rsid w:val="00ED10A7"/>
    <w:rsid w:val="00ED1FC6"/>
    <w:rsid w:val="00ED23D8"/>
    <w:rsid w:val="00ED2C2C"/>
    <w:rsid w:val="00ED3497"/>
    <w:rsid w:val="00ED4B96"/>
    <w:rsid w:val="00ED54BF"/>
    <w:rsid w:val="00ED5BA8"/>
    <w:rsid w:val="00ED69DC"/>
    <w:rsid w:val="00EE1D06"/>
    <w:rsid w:val="00EE2C47"/>
    <w:rsid w:val="00EE3B32"/>
    <w:rsid w:val="00EE3FC5"/>
    <w:rsid w:val="00EE4920"/>
    <w:rsid w:val="00EE5744"/>
    <w:rsid w:val="00EE5F4E"/>
    <w:rsid w:val="00EE6AFE"/>
    <w:rsid w:val="00EE790B"/>
    <w:rsid w:val="00EE7C5F"/>
    <w:rsid w:val="00EF04D7"/>
    <w:rsid w:val="00EF21F6"/>
    <w:rsid w:val="00EF29B5"/>
    <w:rsid w:val="00EF2A45"/>
    <w:rsid w:val="00EF41B4"/>
    <w:rsid w:val="00EF4AFF"/>
    <w:rsid w:val="00EF58BB"/>
    <w:rsid w:val="00EF6C0D"/>
    <w:rsid w:val="00EF7E7B"/>
    <w:rsid w:val="00F0032F"/>
    <w:rsid w:val="00F0036C"/>
    <w:rsid w:val="00F013EB"/>
    <w:rsid w:val="00F01550"/>
    <w:rsid w:val="00F01920"/>
    <w:rsid w:val="00F01AF2"/>
    <w:rsid w:val="00F01C5E"/>
    <w:rsid w:val="00F0355A"/>
    <w:rsid w:val="00F0366D"/>
    <w:rsid w:val="00F048AA"/>
    <w:rsid w:val="00F059C3"/>
    <w:rsid w:val="00F05DFF"/>
    <w:rsid w:val="00F06AA0"/>
    <w:rsid w:val="00F0701F"/>
    <w:rsid w:val="00F07C73"/>
    <w:rsid w:val="00F10850"/>
    <w:rsid w:val="00F1327A"/>
    <w:rsid w:val="00F15F91"/>
    <w:rsid w:val="00F16120"/>
    <w:rsid w:val="00F163BB"/>
    <w:rsid w:val="00F20BFD"/>
    <w:rsid w:val="00F21ACD"/>
    <w:rsid w:val="00F2289C"/>
    <w:rsid w:val="00F245F4"/>
    <w:rsid w:val="00F25E99"/>
    <w:rsid w:val="00F26744"/>
    <w:rsid w:val="00F26A40"/>
    <w:rsid w:val="00F2718A"/>
    <w:rsid w:val="00F278B4"/>
    <w:rsid w:val="00F3063F"/>
    <w:rsid w:val="00F30C74"/>
    <w:rsid w:val="00F324B4"/>
    <w:rsid w:val="00F35F36"/>
    <w:rsid w:val="00F373D0"/>
    <w:rsid w:val="00F378FE"/>
    <w:rsid w:val="00F37EBF"/>
    <w:rsid w:val="00F41818"/>
    <w:rsid w:val="00F4354F"/>
    <w:rsid w:val="00F456D1"/>
    <w:rsid w:val="00F46E7E"/>
    <w:rsid w:val="00F5099B"/>
    <w:rsid w:val="00F52F0A"/>
    <w:rsid w:val="00F530FC"/>
    <w:rsid w:val="00F53281"/>
    <w:rsid w:val="00F53CAC"/>
    <w:rsid w:val="00F553C1"/>
    <w:rsid w:val="00F55405"/>
    <w:rsid w:val="00F5540F"/>
    <w:rsid w:val="00F55CD4"/>
    <w:rsid w:val="00F5635F"/>
    <w:rsid w:val="00F565D0"/>
    <w:rsid w:val="00F5660C"/>
    <w:rsid w:val="00F57A77"/>
    <w:rsid w:val="00F62A1A"/>
    <w:rsid w:val="00F62D1A"/>
    <w:rsid w:val="00F637B6"/>
    <w:rsid w:val="00F63ADC"/>
    <w:rsid w:val="00F63CED"/>
    <w:rsid w:val="00F6490A"/>
    <w:rsid w:val="00F6633F"/>
    <w:rsid w:val="00F6670F"/>
    <w:rsid w:val="00F674F2"/>
    <w:rsid w:val="00F6795D"/>
    <w:rsid w:val="00F72D67"/>
    <w:rsid w:val="00F741F5"/>
    <w:rsid w:val="00F811C1"/>
    <w:rsid w:val="00F813AD"/>
    <w:rsid w:val="00F82147"/>
    <w:rsid w:val="00F821D0"/>
    <w:rsid w:val="00F826D8"/>
    <w:rsid w:val="00F82A02"/>
    <w:rsid w:val="00F845DB"/>
    <w:rsid w:val="00F84CD3"/>
    <w:rsid w:val="00F84D01"/>
    <w:rsid w:val="00F853C6"/>
    <w:rsid w:val="00F86778"/>
    <w:rsid w:val="00F92826"/>
    <w:rsid w:val="00F92C58"/>
    <w:rsid w:val="00F92D54"/>
    <w:rsid w:val="00F933C5"/>
    <w:rsid w:val="00F94E3A"/>
    <w:rsid w:val="00F94FF6"/>
    <w:rsid w:val="00F95715"/>
    <w:rsid w:val="00F958AA"/>
    <w:rsid w:val="00F966BA"/>
    <w:rsid w:val="00FA0000"/>
    <w:rsid w:val="00FA0EC1"/>
    <w:rsid w:val="00FA1CF3"/>
    <w:rsid w:val="00FA2514"/>
    <w:rsid w:val="00FA31A0"/>
    <w:rsid w:val="00FA39AF"/>
    <w:rsid w:val="00FA4498"/>
    <w:rsid w:val="00FA7662"/>
    <w:rsid w:val="00FA797C"/>
    <w:rsid w:val="00FB16FD"/>
    <w:rsid w:val="00FB19A8"/>
    <w:rsid w:val="00FB2404"/>
    <w:rsid w:val="00FB37F3"/>
    <w:rsid w:val="00FB4B4A"/>
    <w:rsid w:val="00FB5FFD"/>
    <w:rsid w:val="00FB62A5"/>
    <w:rsid w:val="00FB771E"/>
    <w:rsid w:val="00FB7A5C"/>
    <w:rsid w:val="00FC00EA"/>
    <w:rsid w:val="00FC0171"/>
    <w:rsid w:val="00FC0265"/>
    <w:rsid w:val="00FC082E"/>
    <w:rsid w:val="00FC09E4"/>
    <w:rsid w:val="00FC1A24"/>
    <w:rsid w:val="00FC28CF"/>
    <w:rsid w:val="00FC3F97"/>
    <w:rsid w:val="00FC46CE"/>
    <w:rsid w:val="00FC4A3B"/>
    <w:rsid w:val="00FC7197"/>
    <w:rsid w:val="00FC73DF"/>
    <w:rsid w:val="00FC7F79"/>
    <w:rsid w:val="00FD0AD4"/>
    <w:rsid w:val="00FD0D01"/>
    <w:rsid w:val="00FD10CE"/>
    <w:rsid w:val="00FD2709"/>
    <w:rsid w:val="00FD5DBD"/>
    <w:rsid w:val="00FD5F20"/>
    <w:rsid w:val="00FD69C6"/>
    <w:rsid w:val="00FD6E47"/>
    <w:rsid w:val="00FD7661"/>
    <w:rsid w:val="00FD7942"/>
    <w:rsid w:val="00FE086A"/>
    <w:rsid w:val="00FE0BE5"/>
    <w:rsid w:val="00FE1659"/>
    <w:rsid w:val="00FE2E4E"/>
    <w:rsid w:val="00FE2FC8"/>
    <w:rsid w:val="00FE563A"/>
    <w:rsid w:val="00FE5FB1"/>
    <w:rsid w:val="00FE6444"/>
    <w:rsid w:val="00FE6D77"/>
    <w:rsid w:val="00FE6FAE"/>
    <w:rsid w:val="00FF0AA6"/>
    <w:rsid w:val="00FF1171"/>
    <w:rsid w:val="00FF14AD"/>
    <w:rsid w:val="00FF1897"/>
    <w:rsid w:val="00FF2368"/>
    <w:rsid w:val="00FF5DE8"/>
    <w:rsid w:val="00FF7669"/>
    <w:rsid w:val="00FF7771"/>
    <w:rsid w:val="01043B91"/>
    <w:rsid w:val="0194E9B7"/>
    <w:rsid w:val="0431213D"/>
    <w:rsid w:val="06567049"/>
    <w:rsid w:val="065C9D2C"/>
    <w:rsid w:val="06731893"/>
    <w:rsid w:val="0717C785"/>
    <w:rsid w:val="07DD958D"/>
    <w:rsid w:val="07E0A8DA"/>
    <w:rsid w:val="0891CBFD"/>
    <w:rsid w:val="09BA15DC"/>
    <w:rsid w:val="0AEB745A"/>
    <w:rsid w:val="0CA24E6B"/>
    <w:rsid w:val="0CB1175D"/>
    <w:rsid w:val="0DCBA12F"/>
    <w:rsid w:val="0E2D85AC"/>
    <w:rsid w:val="0FE028FF"/>
    <w:rsid w:val="109379D0"/>
    <w:rsid w:val="11E6C775"/>
    <w:rsid w:val="143C48D4"/>
    <w:rsid w:val="14534575"/>
    <w:rsid w:val="15C5FCB7"/>
    <w:rsid w:val="15CDBFFC"/>
    <w:rsid w:val="16098AED"/>
    <w:rsid w:val="16307574"/>
    <w:rsid w:val="1678DDBC"/>
    <w:rsid w:val="16B9D9AF"/>
    <w:rsid w:val="16D7EC7B"/>
    <w:rsid w:val="17FCC072"/>
    <w:rsid w:val="19042BC4"/>
    <w:rsid w:val="193822CC"/>
    <w:rsid w:val="19E78F81"/>
    <w:rsid w:val="19F2CA53"/>
    <w:rsid w:val="19FE8509"/>
    <w:rsid w:val="1A6A4F98"/>
    <w:rsid w:val="1B6EEF3E"/>
    <w:rsid w:val="1BD978FA"/>
    <w:rsid w:val="1C2A0103"/>
    <w:rsid w:val="1DDA0A0A"/>
    <w:rsid w:val="1F3F0DC5"/>
    <w:rsid w:val="1F5DBAAE"/>
    <w:rsid w:val="210937BC"/>
    <w:rsid w:val="21A37AF6"/>
    <w:rsid w:val="220D07CC"/>
    <w:rsid w:val="224762E7"/>
    <w:rsid w:val="22CC3ADA"/>
    <w:rsid w:val="23CF8710"/>
    <w:rsid w:val="243A822E"/>
    <w:rsid w:val="2520179B"/>
    <w:rsid w:val="25374B2E"/>
    <w:rsid w:val="2784CE23"/>
    <w:rsid w:val="27E52476"/>
    <w:rsid w:val="2848473B"/>
    <w:rsid w:val="28BAD378"/>
    <w:rsid w:val="28D9292C"/>
    <w:rsid w:val="2937A84F"/>
    <w:rsid w:val="2997E1FC"/>
    <w:rsid w:val="29F5980A"/>
    <w:rsid w:val="2A5565CF"/>
    <w:rsid w:val="2A75A1F4"/>
    <w:rsid w:val="2A918BC7"/>
    <w:rsid w:val="2AAAEC56"/>
    <w:rsid w:val="2AAC9540"/>
    <w:rsid w:val="2BD9E262"/>
    <w:rsid w:val="2C181DA8"/>
    <w:rsid w:val="2D102727"/>
    <w:rsid w:val="2D546B36"/>
    <w:rsid w:val="2EA37969"/>
    <w:rsid w:val="2F9335E2"/>
    <w:rsid w:val="335E266B"/>
    <w:rsid w:val="339C6285"/>
    <w:rsid w:val="3435DC49"/>
    <w:rsid w:val="34C5978F"/>
    <w:rsid w:val="34E5A2A1"/>
    <w:rsid w:val="36C101FA"/>
    <w:rsid w:val="37134239"/>
    <w:rsid w:val="37B372F4"/>
    <w:rsid w:val="39251366"/>
    <w:rsid w:val="3ADE45B5"/>
    <w:rsid w:val="3B781EBA"/>
    <w:rsid w:val="3C511EAD"/>
    <w:rsid w:val="3CFEEBC1"/>
    <w:rsid w:val="3E7D373E"/>
    <w:rsid w:val="3E9673C0"/>
    <w:rsid w:val="400B310D"/>
    <w:rsid w:val="44E38FB7"/>
    <w:rsid w:val="453AA4C5"/>
    <w:rsid w:val="466E1B38"/>
    <w:rsid w:val="494EB2EC"/>
    <w:rsid w:val="4A897F6C"/>
    <w:rsid w:val="4B31DB42"/>
    <w:rsid w:val="4C1E7D88"/>
    <w:rsid w:val="4C3599C2"/>
    <w:rsid w:val="4C421544"/>
    <w:rsid w:val="4CED5D8C"/>
    <w:rsid w:val="4F49911B"/>
    <w:rsid w:val="4F4CD812"/>
    <w:rsid w:val="4F756753"/>
    <w:rsid w:val="4F95DDEC"/>
    <w:rsid w:val="500088FB"/>
    <w:rsid w:val="5099625F"/>
    <w:rsid w:val="5245C5C0"/>
    <w:rsid w:val="52BABC46"/>
    <w:rsid w:val="530FF77A"/>
    <w:rsid w:val="53C2ED7C"/>
    <w:rsid w:val="54978E3F"/>
    <w:rsid w:val="55418C83"/>
    <w:rsid w:val="560088D6"/>
    <w:rsid w:val="56364F6F"/>
    <w:rsid w:val="56AD3B3B"/>
    <w:rsid w:val="57C20E17"/>
    <w:rsid w:val="58CE295B"/>
    <w:rsid w:val="594DD379"/>
    <w:rsid w:val="59B88471"/>
    <w:rsid w:val="5B9284D0"/>
    <w:rsid w:val="5BAB6417"/>
    <w:rsid w:val="5CA5A702"/>
    <w:rsid w:val="5CC5475B"/>
    <w:rsid w:val="5D520BEA"/>
    <w:rsid w:val="5E8AD9BA"/>
    <w:rsid w:val="5F8D160C"/>
    <w:rsid w:val="5FF9B025"/>
    <w:rsid w:val="6034D2E4"/>
    <w:rsid w:val="615AB3E9"/>
    <w:rsid w:val="617319DD"/>
    <w:rsid w:val="6226315C"/>
    <w:rsid w:val="6300C127"/>
    <w:rsid w:val="6333A58A"/>
    <w:rsid w:val="639DD715"/>
    <w:rsid w:val="649A2132"/>
    <w:rsid w:val="66325238"/>
    <w:rsid w:val="66C43951"/>
    <w:rsid w:val="66E8C6AA"/>
    <w:rsid w:val="683FBE07"/>
    <w:rsid w:val="68AFAA01"/>
    <w:rsid w:val="6908CAA6"/>
    <w:rsid w:val="6981DE1A"/>
    <w:rsid w:val="69967EAD"/>
    <w:rsid w:val="6A87499E"/>
    <w:rsid w:val="6B4FBBD3"/>
    <w:rsid w:val="6C21BDE4"/>
    <w:rsid w:val="6EC33B52"/>
    <w:rsid w:val="6FA15290"/>
    <w:rsid w:val="708F533C"/>
    <w:rsid w:val="70BDB6C1"/>
    <w:rsid w:val="74ADA703"/>
    <w:rsid w:val="74F97C71"/>
    <w:rsid w:val="7512D42F"/>
    <w:rsid w:val="751D03D1"/>
    <w:rsid w:val="754275A6"/>
    <w:rsid w:val="791C729B"/>
    <w:rsid w:val="7971D373"/>
    <w:rsid w:val="79A2BD26"/>
    <w:rsid w:val="7B7F1EE7"/>
    <w:rsid w:val="7C7C930D"/>
    <w:rsid w:val="7C9702BF"/>
    <w:rsid w:val="7CCDFE27"/>
    <w:rsid w:val="7CFE5FC6"/>
    <w:rsid w:val="7D41C1BC"/>
    <w:rsid w:val="7EDB141B"/>
    <w:rsid w:val="7F072D4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25E31"/>
  <w15:chartTrackingRefBased/>
  <w15:docId w15:val="{E3867A89-1A1C-4482-84BE-56573150E7D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cs="Calibri" w:eastAsiaTheme="minorHAns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322E5"/>
    <w:rPr>
      <w:rFonts w:ascii="Arial" w:hAnsi="Arial" w:cstheme="minorBidi"/>
    </w:rPr>
  </w:style>
  <w:style w:type="paragraph" w:styleId="Heading1">
    <w:name w:val="heading 1"/>
    <w:basedOn w:val="Normal"/>
    <w:next w:val="Normal"/>
    <w:link w:val="Heading1Char"/>
    <w:qFormat/>
    <w:rsid w:val="00AE220E"/>
    <w:pPr>
      <w:pBdr>
        <w:top w:val="single" w:color="6EEEA8" w:sz="24" w:space="0"/>
        <w:left w:val="single" w:color="6EEEA8" w:sz="24" w:space="0"/>
        <w:bottom w:val="single" w:color="6EEEA8" w:sz="24" w:space="0"/>
        <w:right w:val="single" w:color="6EEEA8" w:sz="24" w:space="0"/>
      </w:pBdr>
      <w:shd w:val="clear" w:color="auto" w:fill="6EEEA8"/>
      <w:spacing w:before="100" w:after="0" w:line="276" w:lineRule="auto"/>
      <w:outlineLvl w:val="0"/>
    </w:pPr>
    <w:rPr>
      <w:rFonts w:eastAsiaTheme="minorEastAsia"/>
      <w:caps/>
      <w:color w:val="FFFFFF" w:themeColor="background1"/>
      <w:spacing w:val="15"/>
      <w:kern w:val="0"/>
      <w:sz w:val="22"/>
      <w:szCs w:val="22"/>
      <w:lang w:val="nl-NL"/>
      <w14:ligatures w14:val="none"/>
    </w:rPr>
  </w:style>
  <w:style w:type="paragraph" w:styleId="Heading2">
    <w:name w:val="heading 2"/>
    <w:basedOn w:val="Normal"/>
    <w:next w:val="Normal"/>
    <w:link w:val="Heading2Char"/>
    <w:uiPriority w:val="9"/>
    <w:unhideWhenUsed/>
    <w:qFormat/>
    <w:rsid w:val="00AE220E"/>
    <w:pPr>
      <w:pBdr>
        <w:top w:val="single" w:color="B0F6D0" w:sz="24" w:space="0"/>
        <w:left w:val="single" w:color="B0F6D0" w:sz="24" w:space="0"/>
        <w:bottom w:val="single" w:color="B0F6D0" w:sz="24" w:space="0"/>
        <w:right w:val="single" w:color="B0F6D0" w:sz="24" w:space="0"/>
      </w:pBdr>
      <w:shd w:val="clear" w:color="auto" w:fill="B0F6D0"/>
      <w:spacing w:before="100" w:after="0" w:line="276" w:lineRule="auto"/>
      <w:outlineLvl w:val="1"/>
    </w:pPr>
    <w:rPr>
      <w:rFonts w:eastAsiaTheme="minorEastAsia"/>
      <w:caps/>
      <w:color w:val="FFFFFF" w:themeColor="background1"/>
      <w:spacing w:val="15"/>
      <w:kern w:val="0"/>
      <w:sz w:val="20"/>
      <w:szCs w:val="20"/>
      <w:lang w:val="nl-NL"/>
      <w14:ligatures w14:val="none"/>
    </w:rPr>
  </w:style>
  <w:style w:type="paragraph" w:styleId="Heading3">
    <w:name w:val="heading 3"/>
    <w:basedOn w:val="Normal"/>
    <w:next w:val="Normal"/>
    <w:link w:val="Heading3Char"/>
    <w:unhideWhenUsed/>
    <w:qFormat/>
    <w:rsid w:val="00432558"/>
    <w:pPr>
      <w:framePr w:wrap="around" w:hAnchor="text" w:vAnchor="text" w:y="1"/>
      <w:spacing w:before="300" w:after="0" w:line="276" w:lineRule="auto"/>
      <w:outlineLvl w:val="2"/>
    </w:pPr>
    <w:rPr>
      <w:rFonts w:eastAsiaTheme="minorEastAsia"/>
      <w:caps/>
      <w:color w:val="0A2F40" w:themeColor="accent1" w:themeShade="7F"/>
      <w:spacing w:val="15"/>
      <w:kern w:val="0"/>
      <w:szCs w:val="20"/>
      <w:lang w:val="nl-NL"/>
      <w14:ligatures w14:val="none"/>
    </w:rPr>
  </w:style>
  <w:style w:type="paragraph" w:styleId="Heading4">
    <w:name w:val="heading 4"/>
    <w:basedOn w:val="Normal"/>
    <w:next w:val="Normal"/>
    <w:link w:val="Heading4Char"/>
    <w:uiPriority w:val="9"/>
    <w:semiHidden/>
    <w:unhideWhenUsed/>
    <w:qFormat/>
    <w:rsid w:val="00D95E7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5E7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5E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5E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5E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5E7D"/>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rsid w:val="00D95E7D"/>
    <w:rPr>
      <w:rFonts w:ascii="Arial" w:hAnsi="Arial" w:eastAsiaTheme="minorEastAsia" w:cstheme="minorBidi"/>
      <w:caps/>
      <w:color w:val="FFFFFF" w:themeColor="background1"/>
      <w:spacing w:val="15"/>
      <w:kern w:val="0"/>
      <w:sz w:val="22"/>
      <w:szCs w:val="22"/>
      <w:shd w:val="clear" w:color="auto" w:fill="6EEEA8"/>
      <w:lang w:val="nl-NL"/>
      <w14:ligatures w14:val="none"/>
    </w:rPr>
  </w:style>
  <w:style w:type="character" w:styleId="Heading2Char" w:customStyle="1">
    <w:name w:val="Heading 2 Char"/>
    <w:basedOn w:val="DefaultParagraphFont"/>
    <w:link w:val="Heading2"/>
    <w:uiPriority w:val="9"/>
    <w:rsid w:val="00D95E7D"/>
    <w:rPr>
      <w:rFonts w:ascii="Arial" w:hAnsi="Arial" w:eastAsiaTheme="minorEastAsia" w:cstheme="minorBidi"/>
      <w:caps/>
      <w:color w:val="FFFFFF" w:themeColor="background1"/>
      <w:spacing w:val="15"/>
      <w:kern w:val="0"/>
      <w:sz w:val="20"/>
      <w:szCs w:val="20"/>
      <w:shd w:val="clear" w:color="auto" w:fill="B0F6D0"/>
      <w:lang w:val="nl-NL"/>
      <w14:ligatures w14:val="none"/>
    </w:rPr>
  </w:style>
  <w:style w:type="character" w:styleId="Heading3Char" w:customStyle="1">
    <w:name w:val="Heading 3 Char"/>
    <w:basedOn w:val="DefaultParagraphFont"/>
    <w:link w:val="Heading3"/>
    <w:rsid w:val="00D95E7D"/>
    <w:rPr>
      <w:rFonts w:ascii="Arial" w:hAnsi="Arial" w:eastAsiaTheme="minorEastAsia" w:cstheme="minorBidi"/>
      <w:caps/>
      <w:color w:val="0A2F40" w:themeColor="accent1" w:themeShade="7F"/>
      <w:spacing w:val="15"/>
      <w:kern w:val="0"/>
      <w:szCs w:val="20"/>
      <w:lang w:val="nl-NL"/>
      <w14:ligatures w14:val="none"/>
    </w:rPr>
  </w:style>
  <w:style w:type="character" w:styleId="Heading4Char" w:customStyle="1">
    <w:name w:val="Heading 4 Char"/>
    <w:basedOn w:val="DefaultParagraphFont"/>
    <w:link w:val="Heading4"/>
    <w:uiPriority w:val="9"/>
    <w:semiHidden/>
    <w:rsid w:val="00D95E7D"/>
    <w:rPr>
      <w:rFonts w:asciiTheme="minorHAnsi" w:hAnsiTheme="minorHAnsi"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D95E7D"/>
    <w:rPr>
      <w:rFonts w:asciiTheme="minorHAnsi" w:hAnsiTheme="minorHAnsi"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D95E7D"/>
    <w:rPr>
      <w:rFonts w:asciiTheme="minorHAnsi" w:hAnsiTheme="minorHAnsi"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D95E7D"/>
    <w:rPr>
      <w:rFonts w:asciiTheme="minorHAnsi" w:hAnsiTheme="minorHAnsi"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D95E7D"/>
    <w:rPr>
      <w:rFonts w:asciiTheme="minorHAnsi" w:hAnsiTheme="minorHAnsi"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D95E7D"/>
    <w:rPr>
      <w:rFonts w:asciiTheme="minorHAnsi" w:hAnsiTheme="minorHAnsi" w:eastAsiaTheme="majorEastAsia" w:cstheme="majorBidi"/>
      <w:color w:val="272727" w:themeColor="text1" w:themeTint="D8"/>
    </w:rPr>
  </w:style>
  <w:style w:type="paragraph" w:styleId="Title">
    <w:name w:val="Title"/>
    <w:basedOn w:val="Normal"/>
    <w:next w:val="Normal"/>
    <w:link w:val="TitleChar"/>
    <w:uiPriority w:val="10"/>
    <w:qFormat/>
    <w:rsid w:val="00D95E7D"/>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D95E7D"/>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D95E7D"/>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D95E7D"/>
    <w:rPr>
      <w:rFonts w:asciiTheme="minorHAnsi" w:hAnsiTheme="minorHAnsi"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5E7D"/>
    <w:pPr>
      <w:spacing w:before="160"/>
      <w:jc w:val="center"/>
    </w:pPr>
    <w:rPr>
      <w:i/>
      <w:iCs/>
      <w:color w:val="404040" w:themeColor="text1" w:themeTint="BF"/>
    </w:rPr>
  </w:style>
  <w:style w:type="character" w:styleId="QuoteChar" w:customStyle="1">
    <w:name w:val="Quote Char"/>
    <w:basedOn w:val="DefaultParagraphFont"/>
    <w:link w:val="Quote"/>
    <w:uiPriority w:val="29"/>
    <w:rsid w:val="00D95E7D"/>
    <w:rPr>
      <w:i/>
      <w:iCs/>
      <w:color w:val="404040" w:themeColor="text1" w:themeTint="BF"/>
    </w:rPr>
  </w:style>
  <w:style w:type="paragraph" w:styleId="ListParagraph">
    <w:name w:val="List Paragraph"/>
    <w:basedOn w:val="Normal"/>
    <w:qFormat/>
    <w:rsid w:val="00D95E7D"/>
    <w:pPr>
      <w:ind w:left="720"/>
      <w:contextualSpacing/>
    </w:pPr>
  </w:style>
  <w:style w:type="character" w:styleId="IntenseEmphasis">
    <w:name w:val="Intense Emphasis"/>
    <w:basedOn w:val="DefaultParagraphFont"/>
    <w:uiPriority w:val="21"/>
    <w:qFormat/>
    <w:rsid w:val="00D95E7D"/>
    <w:rPr>
      <w:i/>
      <w:iCs/>
      <w:color w:val="0F4761" w:themeColor="accent1" w:themeShade="BF"/>
    </w:rPr>
  </w:style>
  <w:style w:type="paragraph" w:styleId="IntenseQuote">
    <w:name w:val="Intense Quote"/>
    <w:basedOn w:val="Normal"/>
    <w:next w:val="Normal"/>
    <w:link w:val="IntenseQuoteChar"/>
    <w:uiPriority w:val="30"/>
    <w:qFormat/>
    <w:rsid w:val="00D95E7D"/>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D95E7D"/>
    <w:rPr>
      <w:i/>
      <w:iCs/>
      <w:color w:val="0F4761" w:themeColor="accent1" w:themeShade="BF"/>
    </w:rPr>
  </w:style>
  <w:style w:type="character" w:styleId="IntenseReference">
    <w:name w:val="Intense Reference"/>
    <w:basedOn w:val="DefaultParagraphFont"/>
    <w:uiPriority w:val="32"/>
    <w:qFormat/>
    <w:rsid w:val="00D95E7D"/>
    <w:rPr>
      <w:b/>
      <w:bCs/>
      <w:smallCaps/>
      <w:color w:val="0F4761" w:themeColor="accent1" w:themeShade="BF"/>
      <w:spacing w:val="5"/>
    </w:rPr>
  </w:style>
  <w:style w:type="table" w:styleId="TableGrid">
    <w:name w:val="Table Grid"/>
    <w:basedOn w:val="TableNormal"/>
    <w:uiPriority w:val="39"/>
    <w:rsid w:val="00D95E7D"/>
    <w:pPr>
      <w:spacing w:after="0" w:line="240" w:lineRule="auto"/>
    </w:pPr>
    <w:rPr>
      <w:rFonts w:asciiTheme="minorHAnsi" w:hAnsiTheme="minorHAnsi"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link w:val="NoSpacingChar"/>
    <w:uiPriority w:val="1"/>
    <w:qFormat/>
    <w:rsid w:val="00D95E7D"/>
    <w:pPr>
      <w:spacing w:after="0" w:line="240" w:lineRule="auto"/>
    </w:pPr>
    <w:rPr>
      <w:rFonts w:asciiTheme="minorHAnsi" w:hAnsiTheme="minorHAnsi" w:eastAsiaTheme="minorEastAsia" w:cstheme="minorBidi"/>
      <w:kern w:val="0"/>
      <w:sz w:val="22"/>
      <w:szCs w:val="22"/>
      <w14:ligatures w14:val="none"/>
    </w:rPr>
  </w:style>
  <w:style w:type="character" w:styleId="NoSpacingChar" w:customStyle="1">
    <w:name w:val="No Spacing Char"/>
    <w:basedOn w:val="DefaultParagraphFont"/>
    <w:link w:val="NoSpacing"/>
    <w:uiPriority w:val="1"/>
    <w:rsid w:val="00D95E7D"/>
    <w:rPr>
      <w:rFonts w:asciiTheme="minorHAnsi" w:hAnsiTheme="minorHAnsi" w:eastAsiaTheme="minorEastAsia" w:cstheme="minorBidi"/>
      <w:kern w:val="0"/>
      <w:sz w:val="22"/>
      <w:szCs w:val="22"/>
      <w:lang w:val="en-US"/>
      <w14:ligatures w14:val="none"/>
    </w:rPr>
  </w:style>
  <w:style w:type="paragraph" w:styleId="TOCHeading">
    <w:name w:val="TOC Heading"/>
    <w:basedOn w:val="Heading1"/>
    <w:next w:val="Normal"/>
    <w:uiPriority w:val="39"/>
    <w:unhideWhenUsed/>
    <w:qFormat/>
    <w:rsid w:val="0081774A"/>
    <w:pPr>
      <w:pBdr>
        <w:top w:val="single" w:color="44A268" w:sz="24" w:space="0"/>
        <w:left w:val="single" w:color="44A268" w:sz="24" w:space="0"/>
        <w:bottom w:val="single" w:color="44A268" w:sz="24" w:space="0"/>
        <w:right w:val="single" w:color="44A268" w:sz="24" w:space="0"/>
      </w:pBdr>
      <w:shd w:val="clear" w:color="auto" w:fill="44A268"/>
      <w:spacing w:before="240" w:line="259" w:lineRule="auto"/>
      <w:outlineLvl w:val="9"/>
    </w:pPr>
    <w:rPr>
      <w:rFonts w:asciiTheme="majorHAnsi" w:hAnsiTheme="majorHAnsi"/>
      <w:caps w:val="0"/>
      <w:color w:val="0F4761" w:themeColor="accent1" w:themeShade="BF"/>
      <w:sz w:val="32"/>
      <w:szCs w:val="32"/>
    </w:rPr>
  </w:style>
  <w:style w:type="paragraph" w:styleId="TOC1">
    <w:name w:val="toc 1"/>
    <w:basedOn w:val="Normal"/>
    <w:next w:val="Normal"/>
    <w:autoRedefine/>
    <w:uiPriority w:val="39"/>
    <w:unhideWhenUsed/>
    <w:rsid w:val="0081774A"/>
    <w:pPr>
      <w:spacing w:after="100"/>
    </w:pPr>
  </w:style>
  <w:style w:type="paragraph" w:styleId="TOC2">
    <w:name w:val="toc 2"/>
    <w:basedOn w:val="Normal"/>
    <w:next w:val="Normal"/>
    <w:autoRedefine/>
    <w:uiPriority w:val="39"/>
    <w:unhideWhenUsed/>
    <w:rsid w:val="0081774A"/>
    <w:pPr>
      <w:spacing w:after="100"/>
      <w:ind w:left="240"/>
    </w:pPr>
  </w:style>
  <w:style w:type="character" w:styleId="Hyperlink">
    <w:name w:val="Hyperlink"/>
    <w:basedOn w:val="DefaultParagraphFont"/>
    <w:uiPriority w:val="99"/>
    <w:unhideWhenUsed/>
    <w:rsid w:val="0081774A"/>
    <w:rPr>
      <w:color w:val="467886" w:themeColor="hyperlink"/>
      <w:u w:val="single"/>
    </w:rPr>
  </w:style>
  <w:style w:type="paragraph" w:styleId="Header">
    <w:name w:val="header"/>
    <w:basedOn w:val="Normal"/>
    <w:link w:val="HeaderChar"/>
    <w:uiPriority w:val="99"/>
    <w:unhideWhenUsed/>
    <w:rsid w:val="0081774A"/>
    <w:pPr>
      <w:tabs>
        <w:tab w:val="center" w:pos="4513"/>
        <w:tab w:val="right" w:pos="9026"/>
      </w:tabs>
      <w:spacing w:after="0" w:line="240" w:lineRule="auto"/>
    </w:pPr>
  </w:style>
  <w:style w:type="character" w:styleId="HeaderChar" w:customStyle="1">
    <w:name w:val="Header Char"/>
    <w:basedOn w:val="DefaultParagraphFont"/>
    <w:link w:val="Header"/>
    <w:uiPriority w:val="99"/>
    <w:rsid w:val="0081774A"/>
    <w:rPr>
      <w:rFonts w:asciiTheme="minorHAnsi" w:hAnsiTheme="minorHAnsi" w:cstheme="minorBidi"/>
      <w:lang w:val="en-US"/>
    </w:rPr>
  </w:style>
  <w:style w:type="paragraph" w:styleId="Footer">
    <w:name w:val="footer"/>
    <w:basedOn w:val="Normal"/>
    <w:link w:val="FooterChar"/>
    <w:uiPriority w:val="99"/>
    <w:unhideWhenUsed/>
    <w:rsid w:val="0081774A"/>
    <w:pPr>
      <w:tabs>
        <w:tab w:val="center" w:pos="4513"/>
        <w:tab w:val="right" w:pos="9026"/>
      </w:tabs>
      <w:spacing w:after="0" w:line="240" w:lineRule="auto"/>
    </w:pPr>
  </w:style>
  <w:style w:type="character" w:styleId="FooterChar" w:customStyle="1">
    <w:name w:val="Footer Char"/>
    <w:basedOn w:val="DefaultParagraphFont"/>
    <w:link w:val="Footer"/>
    <w:uiPriority w:val="99"/>
    <w:rsid w:val="0081774A"/>
    <w:rPr>
      <w:rFonts w:asciiTheme="minorHAnsi" w:hAnsiTheme="minorHAnsi" w:cstheme="minorBidi"/>
      <w:lang w:val="en-US"/>
    </w:rPr>
  </w:style>
  <w:style w:type="paragraph" w:styleId="NormalWeb">
    <w:name w:val="Normal (Web)"/>
    <w:basedOn w:val="Normal"/>
    <w:uiPriority w:val="99"/>
    <w:semiHidden/>
    <w:unhideWhenUsed/>
    <w:rsid w:val="00E358D4"/>
    <w:pPr>
      <w:spacing w:before="100" w:beforeAutospacing="1" w:after="100" w:afterAutospacing="1" w:line="240" w:lineRule="auto"/>
    </w:pPr>
    <w:rPr>
      <w:rFonts w:ascii="Times New Roman" w:hAnsi="Times New Roman" w:eastAsia="Times New Roman" w:cs="Times New Roman"/>
      <w:kern w:val="0"/>
      <w14:ligatures w14:val="none"/>
    </w:rPr>
  </w:style>
  <w:style w:type="character" w:styleId="whitespace-normal" w:customStyle="1">
    <w:name w:val="whitespace-normal"/>
    <w:basedOn w:val="DefaultParagraphFont"/>
    <w:rsid w:val="00E358D4"/>
  </w:style>
  <w:style w:type="paragraph" w:styleId="Bibliography">
    <w:name w:val="Bibliography"/>
    <w:basedOn w:val="Normal"/>
    <w:next w:val="Normal"/>
    <w:uiPriority w:val="37"/>
    <w:unhideWhenUsed/>
    <w:rsid w:val="00715DAE"/>
  </w:style>
  <w:style w:type="character" w:styleId="UnresolvedMention">
    <w:name w:val="Unresolved Mention"/>
    <w:basedOn w:val="DefaultParagraphFont"/>
    <w:uiPriority w:val="99"/>
    <w:semiHidden/>
    <w:unhideWhenUsed/>
    <w:rsid w:val="00426817"/>
    <w:rPr>
      <w:color w:val="605E5C"/>
      <w:shd w:val="clear" w:color="auto" w:fill="E1DFDD"/>
    </w:rPr>
  </w:style>
  <w:style w:type="paragraph" w:styleId="TOC3">
    <w:name w:val="toc 3"/>
    <w:basedOn w:val="Normal"/>
    <w:next w:val="Normal"/>
    <w:autoRedefine/>
    <w:uiPriority w:val="39"/>
    <w:unhideWhenUsed/>
    <w:rsid w:val="00877E02"/>
    <w:pPr>
      <w:spacing w:after="100"/>
      <w:ind w:left="480"/>
    </w:pPr>
  </w:style>
  <w:style w:type="table" w:styleId="GridTable1Light">
    <w:name w:val="Grid Table 1 Light"/>
    <w:basedOn w:val="TableNormal"/>
    <w:uiPriority w:val="46"/>
    <w:rsid w:val="003556AD"/>
    <w:pPr>
      <w:spacing w:after="0" w:line="240" w:lineRule="auto"/>
    </w:p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34385">
      <w:bodyDiv w:val="1"/>
      <w:marLeft w:val="0"/>
      <w:marRight w:val="0"/>
      <w:marTop w:val="0"/>
      <w:marBottom w:val="0"/>
      <w:divBdr>
        <w:top w:val="none" w:sz="0" w:space="0" w:color="auto"/>
        <w:left w:val="none" w:sz="0" w:space="0" w:color="auto"/>
        <w:bottom w:val="none" w:sz="0" w:space="0" w:color="auto"/>
        <w:right w:val="none" w:sz="0" w:space="0" w:color="auto"/>
      </w:divBdr>
    </w:div>
    <w:div w:id="20593645">
      <w:bodyDiv w:val="1"/>
      <w:marLeft w:val="0"/>
      <w:marRight w:val="0"/>
      <w:marTop w:val="0"/>
      <w:marBottom w:val="0"/>
      <w:divBdr>
        <w:top w:val="none" w:sz="0" w:space="0" w:color="auto"/>
        <w:left w:val="none" w:sz="0" w:space="0" w:color="auto"/>
        <w:bottom w:val="none" w:sz="0" w:space="0" w:color="auto"/>
        <w:right w:val="none" w:sz="0" w:space="0" w:color="auto"/>
      </w:divBdr>
    </w:div>
    <w:div w:id="86460841">
      <w:bodyDiv w:val="1"/>
      <w:marLeft w:val="0"/>
      <w:marRight w:val="0"/>
      <w:marTop w:val="0"/>
      <w:marBottom w:val="0"/>
      <w:divBdr>
        <w:top w:val="none" w:sz="0" w:space="0" w:color="auto"/>
        <w:left w:val="none" w:sz="0" w:space="0" w:color="auto"/>
        <w:bottom w:val="none" w:sz="0" w:space="0" w:color="auto"/>
        <w:right w:val="none" w:sz="0" w:space="0" w:color="auto"/>
      </w:divBdr>
    </w:div>
    <w:div w:id="160972229">
      <w:bodyDiv w:val="1"/>
      <w:marLeft w:val="0"/>
      <w:marRight w:val="0"/>
      <w:marTop w:val="0"/>
      <w:marBottom w:val="0"/>
      <w:divBdr>
        <w:top w:val="none" w:sz="0" w:space="0" w:color="auto"/>
        <w:left w:val="none" w:sz="0" w:space="0" w:color="auto"/>
        <w:bottom w:val="none" w:sz="0" w:space="0" w:color="auto"/>
        <w:right w:val="none" w:sz="0" w:space="0" w:color="auto"/>
      </w:divBdr>
    </w:div>
    <w:div w:id="475997439">
      <w:bodyDiv w:val="1"/>
      <w:marLeft w:val="0"/>
      <w:marRight w:val="0"/>
      <w:marTop w:val="0"/>
      <w:marBottom w:val="0"/>
      <w:divBdr>
        <w:top w:val="none" w:sz="0" w:space="0" w:color="auto"/>
        <w:left w:val="none" w:sz="0" w:space="0" w:color="auto"/>
        <w:bottom w:val="none" w:sz="0" w:space="0" w:color="auto"/>
        <w:right w:val="none" w:sz="0" w:space="0" w:color="auto"/>
      </w:divBdr>
    </w:div>
    <w:div w:id="608854227">
      <w:bodyDiv w:val="1"/>
      <w:marLeft w:val="0"/>
      <w:marRight w:val="0"/>
      <w:marTop w:val="0"/>
      <w:marBottom w:val="0"/>
      <w:divBdr>
        <w:top w:val="none" w:sz="0" w:space="0" w:color="auto"/>
        <w:left w:val="none" w:sz="0" w:space="0" w:color="auto"/>
        <w:bottom w:val="none" w:sz="0" w:space="0" w:color="auto"/>
        <w:right w:val="none" w:sz="0" w:space="0" w:color="auto"/>
      </w:divBdr>
    </w:div>
    <w:div w:id="661082982">
      <w:bodyDiv w:val="1"/>
      <w:marLeft w:val="0"/>
      <w:marRight w:val="0"/>
      <w:marTop w:val="0"/>
      <w:marBottom w:val="0"/>
      <w:divBdr>
        <w:top w:val="none" w:sz="0" w:space="0" w:color="auto"/>
        <w:left w:val="none" w:sz="0" w:space="0" w:color="auto"/>
        <w:bottom w:val="none" w:sz="0" w:space="0" w:color="auto"/>
        <w:right w:val="none" w:sz="0" w:space="0" w:color="auto"/>
      </w:divBdr>
    </w:div>
    <w:div w:id="873271933">
      <w:bodyDiv w:val="1"/>
      <w:marLeft w:val="0"/>
      <w:marRight w:val="0"/>
      <w:marTop w:val="0"/>
      <w:marBottom w:val="0"/>
      <w:divBdr>
        <w:top w:val="none" w:sz="0" w:space="0" w:color="auto"/>
        <w:left w:val="none" w:sz="0" w:space="0" w:color="auto"/>
        <w:bottom w:val="none" w:sz="0" w:space="0" w:color="auto"/>
        <w:right w:val="none" w:sz="0" w:space="0" w:color="auto"/>
      </w:divBdr>
    </w:div>
    <w:div w:id="897931905">
      <w:bodyDiv w:val="1"/>
      <w:marLeft w:val="0"/>
      <w:marRight w:val="0"/>
      <w:marTop w:val="0"/>
      <w:marBottom w:val="0"/>
      <w:divBdr>
        <w:top w:val="none" w:sz="0" w:space="0" w:color="auto"/>
        <w:left w:val="none" w:sz="0" w:space="0" w:color="auto"/>
        <w:bottom w:val="none" w:sz="0" w:space="0" w:color="auto"/>
        <w:right w:val="none" w:sz="0" w:space="0" w:color="auto"/>
      </w:divBdr>
    </w:div>
    <w:div w:id="900864800">
      <w:bodyDiv w:val="1"/>
      <w:marLeft w:val="0"/>
      <w:marRight w:val="0"/>
      <w:marTop w:val="0"/>
      <w:marBottom w:val="0"/>
      <w:divBdr>
        <w:top w:val="none" w:sz="0" w:space="0" w:color="auto"/>
        <w:left w:val="none" w:sz="0" w:space="0" w:color="auto"/>
        <w:bottom w:val="none" w:sz="0" w:space="0" w:color="auto"/>
        <w:right w:val="none" w:sz="0" w:space="0" w:color="auto"/>
      </w:divBdr>
    </w:div>
    <w:div w:id="919873904">
      <w:bodyDiv w:val="1"/>
      <w:marLeft w:val="0"/>
      <w:marRight w:val="0"/>
      <w:marTop w:val="0"/>
      <w:marBottom w:val="0"/>
      <w:divBdr>
        <w:top w:val="none" w:sz="0" w:space="0" w:color="auto"/>
        <w:left w:val="none" w:sz="0" w:space="0" w:color="auto"/>
        <w:bottom w:val="none" w:sz="0" w:space="0" w:color="auto"/>
        <w:right w:val="none" w:sz="0" w:space="0" w:color="auto"/>
      </w:divBdr>
    </w:div>
    <w:div w:id="935016594">
      <w:bodyDiv w:val="1"/>
      <w:marLeft w:val="0"/>
      <w:marRight w:val="0"/>
      <w:marTop w:val="0"/>
      <w:marBottom w:val="0"/>
      <w:divBdr>
        <w:top w:val="none" w:sz="0" w:space="0" w:color="auto"/>
        <w:left w:val="none" w:sz="0" w:space="0" w:color="auto"/>
        <w:bottom w:val="none" w:sz="0" w:space="0" w:color="auto"/>
        <w:right w:val="none" w:sz="0" w:space="0" w:color="auto"/>
      </w:divBdr>
    </w:div>
    <w:div w:id="992485621">
      <w:bodyDiv w:val="1"/>
      <w:marLeft w:val="0"/>
      <w:marRight w:val="0"/>
      <w:marTop w:val="0"/>
      <w:marBottom w:val="0"/>
      <w:divBdr>
        <w:top w:val="none" w:sz="0" w:space="0" w:color="auto"/>
        <w:left w:val="none" w:sz="0" w:space="0" w:color="auto"/>
        <w:bottom w:val="none" w:sz="0" w:space="0" w:color="auto"/>
        <w:right w:val="none" w:sz="0" w:space="0" w:color="auto"/>
      </w:divBdr>
    </w:div>
    <w:div w:id="1052921151">
      <w:bodyDiv w:val="1"/>
      <w:marLeft w:val="0"/>
      <w:marRight w:val="0"/>
      <w:marTop w:val="0"/>
      <w:marBottom w:val="0"/>
      <w:divBdr>
        <w:top w:val="none" w:sz="0" w:space="0" w:color="auto"/>
        <w:left w:val="none" w:sz="0" w:space="0" w:color="auto"/>
        <w:bottom w:val="none" w:sz="0" w:space="0" w:color="auto"/>
        <w:right w:val="none" w:sz="0" w:space="0" w:color="auto"/>
      </w:divBdr>
    </w:div>
    <w:div w:id="1193881511">
      <w:bodyDiv w:val="1"/>
      <w:marLeft w:val="0"/>
      <w:marRight w:val="0"/>
      <w:marTop w:val="0"/>
      <w:marBottom w:val="0"/>
      <w:divBdr>
        <w:top w:val="none" w:sz="0" w:space="0" w:color="auto"/>
        <w:left w:val="none" w:sz="0" w:space="0" w:color="auto"/>
        <w:bottom w:val="none" w:sz="0" w:space="0" w:color="auto"/>
        <w:right w:val="none" w:sz="0" w:space="0" w:color="auto"/>
      </w:divBdr>
    </w:div>
    <w:div w:id="1197541630">
      <w:bodyDiv w:val="1"/>
      <w:marLeft w:val="0"/>
      <w:marRight w:val="0"/>
      <w:marTop w:val="0"/>
      <w:marBottom w:val="0"/>
      <w:divBdr>
        <w:top w:val="none" w:sz="0" w:space="0" w:color="auto"/>
        <w:left w:val="none" w:sz="0" w:space="0" w:color="auto"/>
        <w:bottom w:val="none" w:sz="0" w:space="0" w:color="auto"/>
        <w:right w:val="none" w:sz="0" w:space="0" w:color="auto"/>
      </w:divBdr>
    </w:div>
    <w:div w:id="1275866115">
      <w:bodyDiv w:val="1"/>
      <w:marLeft w:val="0"/>
      <w:marRight w:val="0"/>
      <w:marTop w:val="0"/>
      <w:marBottom w:val="0"/>
      <w:divBdr>
        <w:top w:val="none" w:sz="0" w:space="0" w:color="auto"/>
        <w:left w:val="none" w:sz="0" w:space="0" w:color="auto"/>
        <w:bottom w:val="none" w:sz="0" w:space="0" w:color="auto"/>
        <w:right w:val="none" w:sz="0" w:space="0" w:color="auto"/>
      </w:divBdr>
    </w:div>
    <w:div w:id="1832981158">
      <w:bodyDiv w:val="1"/>
      <w:marLeft w:val="0"/>
      <w:marRight w:val="0"/>
      <w:marTop w:val="0"/>
      <w:marBottom w:val="0"/>
      <w:divBdr>
        <w:top w:val="none" w:sz="0" w:space="0" w:color="auto"/>
        <w:left w:val="none" w:sz="0" w:space="0" w:color="auto"/>
        <w:bottom w:val="none" w:sz="0" w:space="0" w:color="auto"/>
        <w:right w:val="none" w:sz="0" w:space="0" w:color="auto"/>
      </w:divBdr>
    </w:div>
    <w:div w:id="2103335627">
      <w:bodyDiv w:val="1"/>
      <w:marLeft w:val="0"/>
      <w:marRight w:val="0"/>
      <w:marTop w:val="0"/>
      <w:marBottom w:val="0"/>
      <w:divBdr>
        <w:top w:val="none" w:sz="0" w:space="0" w:color="auto"/>
        <w:left w:val="none" w:sz="0" w:space="0" w:color="auto"/>
        <w:bottom w:val="none" w:sz="0" w:space="0" w:color="auto"/>
        <w:right w:val="none" w:sz="0" w:space="0" w:color="auto"/>
      </w:divBdr>
    </w:div>
    <w:div w:id="2109932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2.png" Id="rId13" /><Relationship Type="http://schemas.openxmlformats.org/officeDocument/2006/relationships/hyperlink" Target="https://utrechtlawreview.org/articles/10.18352/ulr.420" TargetMode="External" Id="rId18" /><Relationship Type="http://schemas.openxmlformats.org/officeDocument/2006/relationships/hyperlink" Target="https://doi.org/10.1007/s10796-014-9506-z" TargetMode="External" Id="rId26" /><Relationship Type="http://schemas.openxmlformats.org/officeDocument/2006/relationships/footer" Target="footer1.xml" Id="rId39" /><Relationship Type="http://schemas.openxmlformats.org/officeDocument/2006/relationships/hyperlink" Target="https://eur-lex.europa.eu/legal-content/EN/TXT/?uri=CELEX:32022R0868" TargetMode="External" Id="rId21" /><Relationship Type="http://schemas.openxmlformats.org/officeDocument/2006/relationships/hyperlink" Target="http://bvbr.bib-bvb.de:8991/F?func=service&amp;doc_library=BVB01&amp;local_base=BVB01&amp;doc_number=030808442&amp;sequence=000001&amp;line_number=0001&amp;func_code=DB_RECORDS&amp;service_type=MEDIA" TargetMode="External" Id="rId34" /><Relationship Type="http://schemas.openxmlformats.org/officeDocument/2006/relationships/fontTable" Target="fontTable.xml" Id="rId42" /><Relationship Type="http://schemas.openxmlformats.org/officeDocument/2006/relationships/styles" Target="styles.xml" Id="rId7" /><Relationship Type="http://schemas.openxmlformats.org/officeDocument/2006/relationships/customXml" Target="../customXml/item2.xml" Id="rId2" /><Relationship Type="http://schemas.openxmlformats.org/officeDocument/2006/relationships/image" Target="media/image5.png" Id="rId16" /><Relationship Type="http://schemas.openxmlformats.org/officeDocument/2006/relationships/hyperlink" Target="https://amsterdamsmartcity.com/updates/news/policy-guidelines-and-ethical-principles-for-digital-technology" TargetMode="External" Id="rId20" /><Relationship Type="http://schemas.openxmlformats.org/officeDocument/2006/relationships/hyperlink" Target="https://www.rijksoverheid.nl/documenten/rapporten/2021/09/29/toetsingskader-algoritmes-hoge-risico" TargetMode="External" Id="rId29" /><Relationship Type="http://schemas.openxmlformats.org/officeDocument/2006/relationships/footer" Target="footer2.xml" Id="rId41"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https://digital-strategy.ec.europa.eu/en/library/assessment-list-trustworthy-artificial-intelligence-altai-self-assessment" TargetMode="External" Id="rId24" /><Relationship Type="http://schemas.openxmlformats.org/officeDocument/2006/relationships/hyperlink" Target="https://doi.org/10.1038/sdata.2016.18" TargetMode="External" Id="rId32" /><Relationship Type="http://schemas.openxmlformats.org/officeDocument/2006/relationships/hyperlink" Target="https://www3.weforum.org/docs/WEF_Governing_Smart_Cities_2021.pdf" TargetMode="External" Id="rId37" /><Relationship Type="http://schemas.openxmlformats.org/officeDocument/2006/relationships/header" Target="header2.xml" Id="rId40" /><Relationship Type="http://schemas.openxmlformats.org/officeDocument/2006/relationships/customXml" Target="../customXml/item5.xml" Id="rId5" /><Relationship Type="http://schemas.openxmlformats.org/officeDocument/2006/relationships/image" Target="media/image4.png" Id="rId15" /><Relationship Type="http://schemas.openxmlformats.org/officeDocument/2006/relationships/hyperlink" Target="https://eur-lex.europa.eu/legal-content/EN/TXT/?uri=CELEX:32016R0679" TargetMode="External" Id="rId23" /><Relationship Type="http://schemas.openxmlformats.org/officeDocument/2006/relationships/hyperlink" Target="https://firstmonday.org/ojs/index.php/fm/article/view/11720/10600" TargetMode="External" Id="rId28" /><Relationship Type="http://schemas.openxmlformats.org/officeDocument/2006/relationships/hyperlink" Target="file:///C:/Users/tsvet/OneDrive/Documents/Semester%206%20SIDA/1-s2.0-S2515856220300122-main.pdf" TargetMode="External" Id="rId36" /><Relationship Type="http://schemas.openxmlformats.org/officeDocument/2006/relationships/footnotes" Target="footnotes.xml" Id="rId10" /><Relationship Type="http://schemas.openxmlformats.org/officeDocument/2006/relationships/hyperlink" Target="https://www.ipc.on.ca/wp-content/uploads/Resources/7foundationalprinciples.pdf" TargetMode="External" Id="rId19" /><Relationship Type="http://schemas.openxmlformats.org/officeDocument/2006/relationships/hyperlink" Target="https://smart-cities-marketplace.ec.europa.eu/insights/publications/ds4sscc-deployment-guide" TargetMode="External" Id="rId31"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image" Target="media/image3.png" Id="rId14" /><Relationship Type="http://schemas.openxmlformats.org/officeDocument/2006/relationships/hyperlink" Target="https://eur-lex.europa.eu/legal-content/EN/TXT/?uri=CELEX%3A32022R0868&amp;qid=1777899229692" TargetMode="External" Id="rId22" /><Relationship Type="http://schemas.openxmlformats.org/officeDocument/2006/relationships/hyperlink" Target="https://doi.org/10.1098/rsta.2016.0115" TargetMode="External" Id="rId27" /><Relationship Type="http://schemas.openxmlformats.org/officeDocument/2006/relationships/hyperlink" Target="https://eur-lex.europa.eu/eli/reg/2023/2854/oj/eng" TargetMode="External" Id="rId30" /><Relationship Type="http://schemas.openxmlformats.org/officeDocument/2006/relationships/hyperlink" Target="https://amsterdamsmartcity.com/updates/news/policy-guidelines-and-ethical-principles-for-digital-technology" TargetMode="External" Id="rId35" /><Relationship Type="http://schemas.openxmlformats.org/officeDocument/2006/relationships/theme" Target="theme/theme1.xml" Id="rId43" /><Relationship Type="http://schemas.openxmlformats.org/officeDocument/2006/relationships/settings" Target="settings.xml" Id="rId8" /><Relationship Type="http://schemas.openxmlformats.org/officeDocument/2006/relationships/customXml" Target="../customXml/item3.xml" Id="rId3" /><Relationship Type="http://schemas.openxmlformats.org/officeDocument/2006/relationships/image" Target="media/image1.png" Id="rId12" /><Relationship Type="http://schemas.openxmlformats.org/officeDocument/2006/relationships/hyperlink" Target="https://gdpr-info.eu/art-5-gdpr/" TargetMode="External" Id="rId17" /><Relationship Type="http://schemas.openxmlformats.org/officeDocument/2006/relationships/hyperlink" Target="https://www.sciencedirect.com/science/article/abs/pii/S0740624X20302719" TargetMode="External" Id="rId25" /><Relationship Type="http://schemas.openxmlformats.org/officeDocument/2006/relationships/hyperlink" Target="https://gdpr.eu/what-is-gdpr/" TargetMode="External" Id="rId33" /><Relationship Type="http://schemas.openxmlformats.org/officeDocument/2006/relationships/header" Target="header1.xml" Id="rId38"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2026-03-12T00:00:00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C0E188E5948744A9219F352AF013B33" ma:contentTypeVersion="11" ma:contentTypeDescription="Een nieuw document maken." ma:contentTypeScope="" ma:versionID="42f518e6ef662935798a7eb1078ef50c">
  <xsd:schema xmlns:xsd="http://www.w3.org/2001/XMLSchema" xmlns:xs="http://www.w3.org/2001/XMLSchema" xmlns:p="http://schemas.microsoft.com/office/2006/metadata/properties" xmlns:ns2="05b142e7-393c-43e4-9020-0115da43891b" xmlns:ns3="687f8351-899a-4d26-9a89-2052f862aaa9" targetNamespace="http://schemas.microsoft.com/office/2006/metadata/properties" ma:root="true" ma:fieldsID="f7971c7b88158a6d27c70d3bac41025f" ns2:_="" ns3:_="">
    <xsd:import namespace="05b142e7-393c-43e4-9020-0115da43891b"/>
    <xsd:import namespace="687f8351-899a-4d26-9a89-2052f862aaa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b142e7-393c-43e4-9020-0115da4389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1cf77c6f-7d90-4f59-9429-7beb7326011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87f8351-899a-4d26-9a89-2052f862aaa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e1b6657-961d-4828-b532-e0d57c0d46ec}" ma:internalName="TaxCatchAll" ma:showField="CatchAllData" ma:web="687f8351-899a-4d26-9a89-2052f862aa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87f8351-899a-4d26-9a89-2052f862aaa9" xsi:nil="true"/>
    <lcf76f155ced4ddcb4097134ff3c332f xmlns="05b142e7-393c-43e4-9020-0115da43891b">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b:Source>
    <b:Tag>Int</b:Tag>
    <b:SourceType>InternetSite</b:SourceType>
    <b:Guid>{596BE86E-254B-4138-BB5C-E7FC1DE730DF}</b:Guid>
    <b:Title>International Data spaces: uitwisselen veilig en makkelijk</b:Title>
    <b:InternetSiteTitle>tnno</b:InternetSiteTitle>
    <b:URL>https://www.tno.nl/nl/technologie-wetenschap/technologieen/international-data-spaces/?msclkid=c6ab45e5a19913da5b172c3205c08637&amp;utm_source=bing&amp;utm_medium=cpc&amp;utm_campaign=4.0%20-%20ISP&amp;utm_term=international%20data%20spaces&amp;utm_content=international%20dat</b:URL>
    <b:RefOrder>1</b:RefOrder>
  </b:Source>
  <b:Source>
    <b:Tag>Mic25</b:Tag>
    <b:SourceType>InternetSite</b:SourceType>
    <b:Guid>{9D5B07B3-2685-4273-B33F-853BE5880460}</b:Guid>
    <b:Author>
      <b:Author>
        <b:NameList>
          <b:Person>
            <b:Last>Aussems</b:Last>
            <b:First>Michaël</b:First>
          </b:Person>
        </b:NameList>
      </b:Author>
    </b:Author>
    <b:Title>Wat is Gaia-X, voor wie is het, en hoe gebruik je het?</b:Title>
    <b:InternetSiteTitle>IT daily</b:InternetSiteTitle>
    <b:Year>2025</b:Year>
    <b:Month>11</b:Month>
    <b:Day>24</b:Day>
    <b:URL>https://itdaily.be/blogs/cloud/wat-is-gaia-x-data-spaces/</b:URL>
    <b:RefOrder>2</b:RefOrder>
  </b:Source>
  <b:Source>
    <b:Tag>Gen18</b:Tag>
    <b:SourceType>InternetSite</b:SourceType>
    <b:Guid>{302F9F81-27B2-42E6-B222-CE5901B5F6FE}</b:Guid>
    <b:Title>General Data Protection Regulation</b:Title>
    <b:InternetSiteTitle>gdpr-info</b:InternetSiteTitle>
    <b:Year>2018</b:Year>
    <b:Month>May</b:Month>
    <b:Day>25</b:Day>
    <b:URL>s://gdpr-info.eu</b:URL>
    <b:RefOrder>3</b:RefOrder>
  </b:Source>
  <b:Source>
    <b:Tag>Dat20</b:Tag>
    <b:SourceType>InternetSite</b:SourceType>
    <b:Guid>{77724314-4994-454F-95D1-8147299AC025}</b:Guid>
    <b:Title>Data Governance for Trustworthy AI</b:Title>
    <b:InternetSiteTitle>Science Direct</b:InternetSiteTitle>
    <b:Year>2020</b:Year>
    <b:URL>https://www.sciencedirect.com/science/article/abs/pii/S0740624X20302719</b:URL>
    <b:RefOrder>4</b:RefOrder>
  </b:Source>
  <b:Source>
    <b:Tag>Pol</b:Tag>
    <b:SourceType>InternetSite</b:SourceType>
    <b:Guid>{535C7ECD-D4F6-4BA3-8E3C-C725B9DD9FEA}</b:Guid>
    <b:Title>Policy guidelines and Ethical principles for digital Technology</b:Title>
    <b:InternetSiteTitle>Amsterdam Smart City</b:InternetSiteTitle>
    <b:URL>https://amsterdamsmartcity.com/updates/news/policy-guidelines-and-ethical-principles-for-digital-technology</b:URL>
    <b:RefOrder>5</b:RefOrder>
  </b:Source>
  <b:Source>
    <b:Tag>Reg</b:Tag>
    <b:SourceType>InternetSite</b:SourceType>
    <b:Guid>{9A647879-A18F-4356-A295-086B48D2BD12}</b:Guid>
    <b:Title>Regulation EU 2022/868</b:Title>
    <b:InternetSiteTitle>Eur-lex</b:InternetSiteTitle>
    <b:URL>https://eur-lex.europa.eu/legal-content/EN/TXT/?uri=CELEX:32022R0868</b:URL>
    <b:RefOrder>6</b:RefOrder>
  </b:Source>
  <b:Source>
    <b:Tag>WEF</b:Tag>
    <b:SourceType>InternetSite</b:SourceType>
    <b:Guid>{B853B90C-F67A-4F12-96C1-074E4291F095}</b:Guid>
    <b:Title>WEF Governing Smart Cities</b:Title>
    <b:InternetSiteTitle>Weforum</b:InternetSiteTitle>
    <b:URL>https://www3.weforum.org/docs/WEF_Governing_Smart_Cities_2021.pdf</b:URL>
    <b:RefOrder>7</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6641832-2DE5-4A29-AF9F-1A08B946832E}"/>
</file>

<file path=customXml/itemProps3.xml><?xml version="1.0" encoding="utf-8"?>
<ds:datastoreItem xmlns:ds="http://schemas.openxmlformats.org/officeDocument/2006/customXml" ds:itemID="{6C5B2F94-8AAC-4117-ABC1-6347C2EA963D}">
  <ds:schemaRefs>
    <ds:schemaRef ds:uri="http://schemas.microsoft.com/office/2006/metadata/properties"/>
    <ds:schemaRef ds:uri="http://schemas.microsoft.com/office/infopath/2007/PartnerControls"/>
    <ds:schemaRef ds:uri="687f8351-899a-4d26-9a89-2052f862aaa9"/>
    <ds:schemaRef ds:uri="05b142e7-393c-43e4-9020-0115da43891b"/>
  </ds:schemaRefs>
</ds:datastoreItem>
</file>

<file path=customXml/itemProps4.xml><?xml version="1.0" encoding="utf-8"?>
<ds:datastoreItem xmlns:ds="http://schemas.openxmlformats.org/officeDocument/2006/customXml" ds:itemID="{BA836C59-7221-41A1-90E3-9B72152D02E0}">
  <ds:schemaRefs>
    <ds:schemaRef ds:uri="http://schemas.microsoft.com/sharepoint/v3/contenttype/forms"/>
  </ds:schemaRefs>
</ds:datastoreItem>
</file>

<file path=customXml/itemProps5.xml><?xml version="1.0" encoding="utf-8"?>
<ds:datastoreItem xmlns:ds="http://schemas.openxmlformats.org/officeDocument/2006/customXml" ds:itemID="{D07636AB-5497-498A-8A96-480D8C210C9E}">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Fontys Hogeschool</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Document</dc:title>
  <dc:subject>Citizen City Project</dc:subject>
  <dc:creator>Tsvetan Hristov, Bo Hofland, Rick van Esch, Nick van Heugten, Daniel Sanchez Morales &amp; Lotte de Haan</dc:creator>
  <cp:keywords/>
  <dc:description/>
  <cp:lastModifiedBy>Haan,Lotte L. de</cp:lastModifiedBy>
  <cp:revision>554</cp:revision>
  <dcterms:created xsi:type="dcterms:W3CDTF">2026-03-14T14:11:00Z</dcterms:created>
  <dcterms:modified xsi:type="dcterms:W3CDTF">2026-06-11T10:29:55Z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070901c0-b5cc-4039-b261-4ac3bf834dfb</vt:lpwstr>
  </property>
  <property fmtid="{D5CDD505-2E9C-101B-9397-08002B2CF9AE}" pid="3" name="ContentTypeId">
    <vt:lpwstr>0x010100FC0E188E5948744A9219F352AF013B33</vt:lpwstr>
  </property>
  <property fmtid="{D5CDD505-2E9C-101B-9397-08002B2CF9AE}" pid="4" name="MediaServiceImageTags">
    <vt:lpwstr/>
  </property>
</Properties>
</file>